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6B38CA"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43D99CE8"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B55E4D">
        <w:rPr>
          <w:rFonts w:ascii="Arial" w:hAnsi="Arial" w:cs="Arial"/>
          <w:color w:val="000000"/>
        </w:rPr>
        <w:t>August 6</w:t>
      </w:r>
      <w:r w:rsidR="009A7529">
        <w:rPr>
          <w:rFonts w:ascii="Arial" w:hAnsi="Arial" w:cs="Arial"/>
          <w:color w:val="000000"/>
        </w:rPr>
        <w:t>, 2021</w:t>
      </w:r>
    </w:p>
    <w:p w14:paraId="50A8488F" w14:textId="5D104D7F"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w:t>
      </w:r>
      <w:r w:rsidR="00463222">
        <w:rPr>
          <w:rFonts w:ascii="Arial" w:hAnsi="Arial" w:cs="Arial"/>
          <w:color w:val="000000"/>
        </w:rPr>
        <w:t>1</w:t>
      </w:r>
      <w:r w:rsidR="00B55E4D">
        <w:rPr>
          <w:rFonts w:ascii="Arial" w:hAnsi="Arial" w:cs="Arial"/>
          <w:color w:val="000000"/>
        </w:rPr>
        <w:t>2</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7DD3A1A5" w14:textId="7ECDFEDE" w:rsidR="0050116E" w:rsidRDefault="0050116E" w:rsidP="00950AF8">
      <w:pPr>
        <w:pStyle w:val="Default"/>
        <w:numPr>
          <w:ilvl w:val="0"/>
          <w:numId w:val="6"/>
        </w:numPr>
        <w:ind w:left="720"/>
        <w:rPr>
          <w:rFonts w:ascii="Arial" w:hAnsi="Arial" w:cs="Arial"/>
          <w:bCs/>
          <w:color w:val="auto"/>
        </w:rPr>
      </w:pPr>
      <w:r>
        <w:rPr>
          <w:rFonts w:ascii="Arial" w:hAnsi="Arial" w:cs="Arial"/>
          <w:bCs/>
          <w:color w:val="auto"/>
        </w:rPr>
        <w:t>SP 18-2021-Coummunity Eligibly Provision Operations during School Year 2021-2022: Q&amp;As</w:t>
      </w:r>
    </w:p>
    <w:p w14:paraId="1141CD8B" w14:textId="61FE8F7D" w:rsidR="00697B05" w:rsidRDefault="00697B05" w:rsidP="00950AF8">
      <w:pPr>
        <w:pStyle w:val="Default"/>
        <w:numPr>
          <w:ilvl w:val="0"/>
          <w:numId w:val="6"/>
        </w:numPr>
        <w:ind w:left="720"/>
        <w:rPr>
          <w:rFonts w:ascii="Arial" w:hAnsi="Arial" w:cs="Arial"/>
          <w:bCs/>
          <w:color w:val="auto"/>
        </w:rPr>
      </w:pPr>
      <w:r>
        <w:rPr>
          <w:rFonts w:ascii="Arial" w:hAnsi="Arial" w:cs="Arial"/>
          <w:bCs/>
          <w:color w:val="auto"/>
        </w:rPr>
        <w:t>SP 16-2021-Previously Issues Q&amp;As Relating to Operation of the Child Nutrition Programs: Updated for School Year 2021-2022</w:t>
      </w:r>
    </w:p>
    <w:p w14:paraId="392907AA" w14:textId="335CFC24" w:rsidR="0044218A" w:rsidRDefault="0044218A" w:rsidP="00950AF8">
      <w:pPr>
        <w:pStyle w:val="Default"/>
        <w:numPr>
          <w:ilvl w:val="0"/>
          <w:numId w:val="6"/>
        </w:numPr>
        <w:ind w:left="720"/>
        <w:rPr>
          <w:rFonts w:ascii="Arial" w:hAnsi="Arial" w:cs="Arial"/>
          <w:bCs/>
          <w:color w:val="auto"/>
        </w:rPr>
      </w:pPr>
      <w:r>
        <w:rPr>
          <w:rFonts w:ascii="Arial" w:hAnsi="Arial" w:cs="Arial"/>
          <w:bCs/>
          <w:color w:val="auto"/>
        </w:rPr>
        <w:t>SP15-2021-Q&amp;As for Child Nutrition Program Operations in School Year 2021-2022</w:t>
      </w:r>
    </w:p>
    <w:p w14:paraId="1C5D690C" w14:textId="60A1C5AA" w:rsidR="00950AF8" w:rsidRDefault="00950AF8" w:rsidP="00950AF8">
      <w:pPr>
        <w:pStyle w:val="Default"/>
        <w:numPr>
          <w:ilvl w:val="0"/>
          <w:numId w:val="6"/>
        </w:numPr>
        <w:ind w:left="720"/>
        <w:rPr>
          <w:rFonts w:ascii="Arial" w:hAnsi="Arial" w:cs="Arial"/>
          <w:bCs/>
          <w:color w:val="auto"/>
        </w:rPr>
      </w:pPr>
      <w:r w:rsidRPr="00950AF8">
        <w:rPr>
          <w:rFonts w:ascii="Arial" w:hAnsi="Arial" w:cs="Arial"/>
          <w:bCs/>
          <w:color w:val="auto"/>
        </w:rPr>
        <w:t>SP11-2021-</w:t>
      </w:r>
      <w:r>
        <w:rPr>
          <w:rFonts w:ascii="Arial" w:hAnsi="Arial" w:cs="Arial"/>
          <w:bCs/>
          <w:color w:val="auto"/>
        </w:rPr>
        <w:t>Consolidated Appropriations Act, 2021: Effect on Child Nutrition Programs</w:t>
      </w:r>
    </w:p>
    <w:p w14:paraId="331BBA10" w14:textId="596729FC" w:rsidR="00CD487F" w:rsidRPr="00CD487F" w:rsidRDefault="006B38CA"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1E9E1462" w14:textId="766A72F8" w:rsidR="00EC4AF6" w:rsidRPr="00EC4AF6" w:rsidRDefault="00463222" w:rsidP="00EC4AF6">
      <w:pPr>
        <w:pStyle w:val="ListParagraph"/>
        <w:numPr>
          <w:ilvl w:val="0"/>
          <w:numId w:val="3"/>
        </w:numPr>
        <w:rPr>
          <w:rFonts w:ascii="Arial" w:hAnsi="Arial" w:cs="Arial"/>
        </w:rPr>
      </w:pPr>
      <w:r>
        <w:rPr>
          <w:rFonts w:ascii="Arial" w:hAnsi="Arial" w:cs="Arial"/>
        </w:rPr>
        <w:t>P-EBT and EBB Timeline</w:t>
      </w:r>
    </w:p>
    <w:p w14:paraId="1014CF55" w14:textId="149933CE" w:rsidR="00D40BE0" w:rsidRPr="00D813E8" w:rsidRDefault="00D40BE0" w:rsidP="00D813E8">
      <w:pPr>
        <w:pStyle w:val="ListParagraph"/>
        <w:numPr>
          <w:ilvl w:val="0"/>
          <w:numId w:val="3"/>
        </w:numPr>
        <w:rPr>
          <w:rFonts w:ascii="Arial" w:hAnsi="Arial" w:cs="Arial"/>
        </w:rPr>
      </w:pPr>
      <w:r w:rsidRPr="00D40BE0">
        <w:rPr>
          <w:rFonts w:ascii="Arial" w:hAnsi="Arial" w:cs="Arial"/>
          <w:i/>
          <w:iCs/>
          <w:color w:val="7030A0"/>
        </w:rPr>
        <w:t xml:space="preserve">New </w:t>
      </w:r>
      <w:r>
        <w:rPr>
          <w:rFonts w:ascii="Arial" w:hAnsi="Arial" w:cs="Arial"/>
        </w:rPr>
        <w:t>- 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1193D198" w14:textId="6A2A1D23" w:rsidR="00D27FF1" w:rsidRDefault="00D27FF1" w:rsidP="001E4833">
      <w:pPr>
        <w:pStyle w:val="ListParagraph"/>
        <w:numPr>
          <w:ilvl w:val="0"/>
          <w:numId w:val="1"/>
        </w:numPr>
        <w:rPr>
          <w:rFonts w:ascii="Arial" w:hAnsi="Arial" w:cs="Arial"/>
        </w:rPr>
      </w:pPr>
      <w:r>
        <w:rPr>
          <w:rFonts w:ascii="Arial" w:hAnsi="Arial" w:cs="Arial"/>
        </w:rPr>
        <w:t>2021-2022 NSLP/SBP Reimbursement Rate</w:t>
      </w:r>
    </w:p>
    <w:p w14:paraId="460681E3" w14:textId="2113D9B6"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6C869D15" w14:textId="6EFEF4E9" w:rsidR="008F537D" w:rsidRDefault="008F537D" w:rsidP="001E4833">
      <w:pPr>
        <w:pStyle w:val="ListParagraph"/>
        <w:numPr>
          <w:ilvl w:val="0"/>
          <w:numId w:val="1"/>
        </w:numPr>
        <w:rPr>
          <w:rFonts w:ascii="Arial" w:hAnsi="Arial" w:cs="Arial"/>
        </w:rPr>
      </w:pPr>
      <w:r>
        <w:rPr>
          <w:rFonts w:ascii="Arial" w:hAnsi="Arial" w:cs="Arial"/>
        </w:rPr>
        <w:t>2021-2022 Household Application Template with Parent letters</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8"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r w:rsidRPr="009B05BC">
        <w:rPr>
          <w:rStyle w:val="Hyperlink"/>
          <w:rFonts w:ascii="Arial" w:hAnsi="Arial" w:cs="Arial"/>
        </w:rPr>
        <w:t xml:space="preserve">iLearn – </w:t>
      </w:r>
      <w:hyperlink r:id="rId19" w:history="1">
        <w:r w:rsidRPr="009B05BC">
          <w:rPr>
            <w:rStyle w:val="Hyperlink"/>
            <w:rFonts w:ascii="Arial" w:hAnsi="Arial" w:cs="Arial"/>
          </w:rPr>
          <w:t>ICN E-learning (docebosaas.com)</w:t>
        </w:r>
      </w:hyperlink>
    </w:p>
    <w:p w14:paraId="51F23760" w14:textId="10B21058" w:rsidR="009B05BC" w:rsidRPr="009B05BC" w:rsidRDefault="006B38CA" w:rsidP="009B05BC">
      <w:pPr>
        <w:pStyle w:val="ListParagraph"/>
        <w:numPr>
          <w:ilvl w:val="1"/>
          <w:numId w:val="1"/>
        </w:numPr>
        <w:contextualSpacing w:val="0"/>
        <w:rPr>
          <w:rFonts w:ascii="Arial" w:hAnsi="Arial" w:cs="Arial"/>
        </w:rPr>
      </w:pPr>
      <w:hyperlink r:id="rId2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lastRenderedPageBreak/>
        <w:t xml:space="preserve">Grant Opportunities </w:t>
      </w:r>
    </w:p>
    <w:p w14:paraId="39512B19" w14:textId="2241D12D" w:rsidR="000307B1" w:rsidRPr="008527C1" w:rsidRDefault="00E725B2" w:rsidP="008527C1">
      <w:pPr>
        <w:pStyle w:val="ListParagraph"/>
        <w:numPr>
          <w:ilvl w:val="0"/>
          <w:numId w:val="27"/>
        </w:numPr>
        <w:rPr>
          <w:rFonts w:ascii="Arial" w:hAnsi="Arial" w:cs="Arial"/>
          <w:bCs/>
          <w:iCs/>
        </w:rPr>
      </w:pPr>
      <w:r w:rsidRPr="00E725B2">
        <w:rPr>
          <w:rFonts w:ascii="Arial" w:hAnsi="Arial" w:cs="Arial"/>
          <w:b/>
          <w:i/>
        </w:rPr>
        <w:t>NEW</w:t>
      </w:r>
      <w:r>
        <w:rPr>
          <w:rFonts w:ascii="Arial" w:hAnsi="Arial" w:cs="Arial"/>
          <w:bCs/>
          <w:iCs/>
        </w:rPr>
        <w:t xml:space="preserve"> 2021 USDA Equipment Grant</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6F215291" w14:textId="342DBCF0" w:rsidR="0050116E" w:rsidRPr="0050116E" w:rsidRDefault="0050116E" w:rsidP="0050116E">
      <w:pPr>
        <w:pStyle w:val="Default"/>
        <w:numPr>
          <w:ilvl w:val="0"/>
          <w:numId w:val="6"/>
        </w:numPr>
        <w:ind w:left="720"/>
        <w:rPr>
          <w:rFonts w:ascii="Arial" w:hAnsi="Arial" w:cs="Arial"/>
          <w:bCs/>
          <w:color w:val="auto"/>
        </w:rPr>
      </w:pPr>
      <w:r w:rsidRPr="0050116E">
        <w:rPr>
          <w:rFonts w:ascii="Arial" w:hAnsi="Arial" w:cs="Arial"/>
          <w:b/>
          <w:color w:val="auto"/>
        </w:rPr>
        <w:t>SP 18-2021-Coummunity Eligibly Provision Operations during School Year 2021-2022: Q&amp;As</w:t>
      </w:r>
      <w:r>
        <w:rPr>
          <w:rFonts w:ascii="Arial" w:hAnsi="Arial" w:cs="Arial"/>
          <w:b/>
          <w:color w:val="auto"/>
        </w:rPr>
        <w:t xml:space="preserve"> </w:t>
      </w:r>
      <w:r w:rsidRPr="0050116E">
        <w:rPr>
          <w:rFonts w:ascii="Arial" w:hAnsi="Arial" w:cs="Arial"/>
          <w:bCs/>
        </w:rPr>
        <w:t>This memorandum includes questions and answers intended to provide clarification to State agencies and Program operators that participate or intend to participate in the Community Eligibility Provision (CEP) during regular National School Lunch Program and School Breakfast Program operations. The memorandum addresses the impact of nationwide waivers that the Food and Nutrition Service (FNS) has issued in response to the novel coronavirus (COVID-19), and how those waivers impact CEP requirements. Additional information on the FNS Response to COVID-19 is available at:</w:t>
      </w:r>
      <w:r w:rsidRPr="0050116E">
        <w:rPr>
          <w:sz w:val="23"/>
          <w:szCs w:val="23"/>
        </w:rPr>
        <w:t xml:space="preserve"> </w:t>
      </w:r>
      <w:hyperlink r:id="rId21" w:history="1">
        <w:r w:rsidRPr="0050116E">
          <w:rPr>
            <w:rStyle w:val="Hyperlink"/>
            <w:rFonts w:ascii="Arial" w:hAnsi="Arial" w:cs="Arial"/>
          </w:rPr>
          <w:t>https://www.fns.usda.gov/coronavirus</w:t>
        </w:r>
      </w:hyperlink>
      <w:r w:rsidRPr="0050116E">
        <w:rPr>
          <w:rFonts w:ascii="Arial" w:hAnsi="Arial" w:cs="Arial"/>
        </w:rPr>
        <w:t>.</w:t>
      </w:r>
    </w:p>
    <w:p w14:paraId="79CB173E" w14:textId="77777777" w:rsidR="0050116E" w:rsidRPr="0050116E" w:rsidRDefault="0050116E" w:rsidP="0050116E">
      <w:pPr>
        <w:pStyle w:val="Default"/>
        <w:ind w:left="720"/>
        <w:rPr>
          <w:sz w:val="23"/>
          <w:szCs w:val="23"/>
        </w:rPr>
      </w:pPr>
    </w:p>
    <w:p w14:paraId="6D850A5E" w14:textId="3F8BBEBE" w:rsidR="00697B05" w:rsidRPr="00697B05" w:rsidRDefault="00697B05" w:rsidP="00697B05">
      <w:pPr>
        <w:pStyle w:val="Default"/>
        <w:numPr>
          <w:ilvl w:val="0"/>
          <w:numId w:val="6"/>
        </w:numPr>
        <w:ind w:left="720"/>
        <w:rPr>
          <w:rFonts w:ascii="Arial" w:hAnsi="Arial" w:cs="Arial"/>
          <w:bCs/>
          <w:color w:val="auto"/>
        </w:rPr>
      </w:pPr>
      <w:r w:rsidRPr="00697B05">
        <w:rPr>
          <w:rFonts w:ascii="Arial" w:hAnsi="Arial" w:cs="Arial"/>
          <w:b/>
          <w:color w:val="auto"/>
        </w:rPr>
        <w:t>SP 16-2021-Previously Issues Q&amp;As Relating to Operation of the Child Nutrition Programs: Updated for School Year 2021-2022</w:t>
      </w:r>
      <w:r>
        <w:rPr>
          <w:rFonts w:ascii="Arial" w:hAnsi="Arial" w:cs="Arial"/>
          <w:bCs/>
          <w:color w:val="auto"/>
        </w:rPr>
        <w:t xml:space="preserve"> </w:t>
      </w:r>
      <w:r w:rsidRPr="00697B05">
        <w:rPr>
          <w:rFonts w:ascii="Arial" w:hAnsi="Arial" w:cs="Arial"/>
          <w:bCs/>
        </w:rPr>
        <w:t>T</w:t>
      </w:r>
      <w:r w:rsidRPr="00697B05">
        <w:rPr>
          <w:rFonts w:ascii="Arial" w:hAnsi="Arial" w:cs="Arial"/>
          <w:bCs/>
        </w:rPr>
        <w:t>his memorandum includes questions and answers intended to provide clarification to State agencies and Program operators as they operate the Child Nutrition Programs, including the National School Lunch Program (NSLP), School Breakfast Program (SBP), NSLP Seamless Summer Option (SSO), and Child and Adult Care Food Program (CACFP), during school year (SY) 2021-2022. These questions and answers were previously issued in calendar year 2020 and have been updated for application to SY 2021-2022.</w:t>
      </w:r>
    </w:p>
    <w:p w14:paraId="48A15F4D" w14:textId="77777777" w:rsidR="00697B05" w:rsidRDefault="00697B05" w:rsidP="00697B05">
      <w:pPr>
        <w:pStyle w:val="Default"/>
        <w:ind w:left="720"/>
        <w:rPr>
          <w:rFonts w:ascii="Arial" w:hAnsi="Arial" w:cs="Arial"/>
          <w:b/>
          <w:color w:val="auto"/>
        </w:rPr>
      </w:pPr>
    </w:p>
    <w:p w14:paraId="24F989CB" w14:textId="26AD9DA2" w:rsidR="0044218A" w:rsidRPr="0044218A" w:rsidRDefault="0044218A" w:rsidP="0044218A">
      <w:pPr>
        <w:pStyle w:val="Default"/>
        <w:numPr>
          <w:ilvl w:val="0"/>
          <w:numId w:val="6"/>
        </w:numPr>
        <w:ind w:left="720"/>
        <w:rPr>
          <w:rFonts w:ascii="Arial" w:hAnsi="Arial" w:cs="Arial"/>
          <w:b/>
          <w:color w:val="auto"/>
        </w:rPr>
      </w:pPr>
      <w:r w:rsidRPr="0044218A">
        <w:rPr>
          <w:rFonts w:ascii="Arial" w:hAnsi="Arial" w:cs="Arial"/>
          <w:b/>
          <w:color w:val="auto"/>
        </w:rPr>
        <w:t>SP15-2021-Q&amp;As for Child Nutrition Program Operations in School Year 2021-2022</w:t>
      </w:r>
    </w:p>
    <w:p w14:paraId="136BADDC" w14:textId="4E915548" w:rsidR="0044218A" w:rsidRDefault="0044218A" w:rsidP="0044218A">
      <w:pPr>
        <w:pStyle w:val="Default"/>
        <w:ind w:left="720"/>
        <w:rPr>
          <w:rFonts w:ascii="Arial" w:hAnsi="Arial" w:cs="Arial"/>
          <w:bCs/>
          <w:color w:val="auto"/>
        </w:rPr>
      </w:pPr>
      <w:r w:rsidRPr="0044218A">
        <w:rPr>
          <w:rFonts w:ascii="Arial" w:hAnsi="Arial" w:cs="Arial"/>
          <w:bCs/>
          <w:color w:val="auto"/>
        </w:rPr>
        <w:t>This</w:t>
      </w:r>
      <w:r>
        <w:rPr>
          <w:rFonts w:ascii="Arial" w:hAnsi="Arial" w:cs="Arial"/>
          <w:bCs/>
          <w:color w:val="auto"/>
        </w:rPr>
        <w:t xml:space="preserve"> memorandum includes questions and answers intended to provide clarifications to State agencies and Program</w:t>
      </w:r>
      <w:r w:rsidRPr="0044218A">
        <w:rPr>
          <w:rFonts w:ascii="Arial" w:hAnsi="Arial" w:cs="Arial"/>
          <w:bCs/>
          <w:color w:val="auto"/>
        </w:rPr>
        <w:t xml:space="preserve"> </w:t>
      </w:r>
      <w:r>
        <w:rPr>
          <w:rFonts w:ascii="Arial" w:hAnsi="Arial" w:cs="Arial"/>
          <w:bCs/>
          <w:color w:val="auto"/>
        </w:rPr>
        <w:t>operators as they operate the Child Nutrition Programs, including the National School Lunch Program (NSLP), School Breakfast Program (SBP), NSLP Seamless Summer Option (SSO), and Child and Adult Care Food Program (CACFP), during school year 2021-2021.</w:t>
      </w:r>
    </w:p>
    <w:p w14:paraId="3881916F" w14:textId="08E6CE4B" w:rsidR="0044218A" w:rsidRPr="0044218A" w:rsidRDefault="0044218A" w:rsidP="0044218A">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w:t>
      </w:r>
      <w:r>
        <w:rPr>
          <w:rFonts w:ascii="Arial" w:hAnsi="Arial" w:cs="Arial"/>
          <w:bCs/>
          <w:i/>
          <w:iCs/>
        </w:rPr>
        <w:t xml:space="preserve">clarifies a great deal of outstanding program operation questions for operating SSO next school year. </w:t>
      </w:r>
    </w:p>
    <w:p w14:paraId="3E5B2085" w14:textId="77777777" w:rsidR="0044218A" w:rsidRPr="0044218A" w:rsidRDefault="0044218A" w:rsidP="0044218A">
      <w:pPr>
        <w:pStyle w:val="Default"/>
        <w:ind w:left="720"/>
        <w:rPr>
          <w:rFonts w:ascii="Arial" w:hAnsi="Arial" w:cs="Arial"/>
          <w:bCs/>
          <w:color w:val="auto"/>
        </w:rPr>
      </w:pPr>
    </w:p>
    <w:p w14:paraId="218CB394" w14:textId="0FF3B4CC" w:rsidR="00950AF8" w:rsidRDefault="00950AF8" w:rsidP="00950AF8">
      <w:pPr>
        <w:pStyle w:val="Default"/>
        <w:numPr>
          <w:ilvl w:val="0"/>
          <w:numId w:val="6"/>
        </w:numPr>
        <w:ind w:left="720"/>
        <w:rPr>
          <w:rFonts w:ascii="Arial" w:hAnsi="Arial" w:cs="Arial"/>
          <w:b/>
          <w:color w:val="auto"/>
        </w:rPr>
      </w:pPr>
      <w:r w:rsidRPr="00950AF8">
        <w:rPr>
          <w:rFonts w:ascii="Arial" w:hAnsi="Arial" w:cs="Arial"/>
          <w:b/>
          <w:color w:val="auto"/>
        </w:rPr>
        <w:t>SP11-2021-Consolidated Appropriations Act, 2021: Effect on Child Nutrition Programs</w:t>
      </w:r>
    </w:p>
    <w:p w14:paraId="0763A87B" w14:textId="77777777" w:rsidR="00950AF8" w:rsidRDefault="00950AF8" w:rsidP="00950AF8">
      <w:pPr>
        <w:rPr>
          <w:rFonts w:ascii="Arial" w:hAnsi="Arial" w:cs="Arial"/>
          <w:bCs/>
          <w:i/>
          <w:iCs/>
        </w:rPr>
      </w:pPr>
      <w:r>
        <w:rPr>
          <w:rFonts w:ascii="Arial" w:hAnsi="Arial" w:cs="Arial"/>
          <w:bCs/>
          <w:i/>
          <w:iCs/>
        </w:rPr>
        <w:t xml:space="preserve">Sponsors: </w:t>
      </w:r>
      <w:r w:rsidRPr="00950AF8">
        <w:rPr>
          <w:rFonts w:ascii="Arial" w:hAnsi="Arial" w:cs="Arial"/>
          <w:bCs/>
          <w:i/>
          <w:iCs/>
        </w:rPr>
        <w:t xml:space="preserve">This memorandum provides notice to Child Nutrition Program operators regarding Sections 743, 764, 767, and 789 of Division A of the Consolidated Appropriations Act, 2021 (Public Law 116-260), which: </w:t>
      </w:r>
    </w:p>
    <w:p w14:paraId="28321DD6" w14:textId="59575BA5"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substitution of vegetables for fruits under the School Breakfast Program</w:t>
      </w:r>
    </w:p>
    <w:p w14:paraId="25AF682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prohibits funds from being used to procure raw or processed poultry products from the People’s Republic of China in Child Nutrition Programs</w:t>
      </w:r>
    </w:p>
    <w:p w14:paraId="553B1F4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provides guidance related to pricing of paid lunches for the National School Lunch Program, during school year 2021-2022</w:t>
      </w:r>
    </w:p>
    <w:p w14:paraId="582B6D03"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offering of low-fat (1% fat) flavored milk in the National School Lunch Program and School Breakfast Program</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6B38CA"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26418C32" w14:textId="77777777" w:rsidR="00CD487F" w:rsidRDefault="00CD487F" w:rsidP="00CD487F"/>
    <w:p w14:paraId="3BAC2338"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Cover Letter: Child Nutrition Nationwide Waiver Update for School Year 2021-2022</w:t>
      </w:r>
      <w:r w:rsidRPr="00CD487F">
        <w:rPr>
          <w:rStyle w:val="eop"/>
          <w:rFonts w:ascii="Arial" w:hAnsi="Arial" w:cs="Arial"/>
          <w:sz w:val="24"/>
          <w:szCs w:val="24"/>
        </w:rPr>
        <w:t> </w:t>
      </w:r>
    </w:p>
    <w:p w14:paraId="55CFF901"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the Seamless Summer Option through School Year 2021-2022</w:t>
      </w:r>
      <w:r w:rsidRPr="00CD487F">
        <w:rPr>
          <w:rStyle w:val="eop"/>
          <w:rFonts w:ascii="Arial" w:hAnsi="Arial" w:cs="Arial"/>
          <w:sz w:val="24"/>
          <w:szCs w:val="24"/>
        </w:rPr>
        <w:t> </w:t>
      </w:r>
    </w:p>
    <w:p w14:paraId="26907727"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Summer Food Service Program Reimbursement Rates in School Year 2021-2022</w:t>
      </w:r>
      <w:r w:rsidRPr="00CD487F">
        <w:rPr>
          <w:rStyle w:val="eop"/>
          <w:rFonts w:ascii="Arial" w:hAnsi="Arial" w:cs="Arial"/>
          <w:sz w:val="24"/>
          <w:szCs w:val="24"/>
        </w:rPr>
        <w:t> </w:t>
      </w:r>
    </w:p>
    <w:p w14:paraId="0F37DA3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Non-Congregate Meal Service for School Year 2021-2022</w:t>
      </w:r>
      <w:r w:rsidRPr="00CD487F">
        <w:rPr>
          <w:rStyle w:val="eop"/>
          <w:rFonts w:ascii="Arial" w:hAnsi="Arial" w:cs="Arial"/>
          <w:sz w:val="24"/>
          <w:szCs w:val="24"/>
        </w:rPr>
        <w:t> </w:t>
      </w:r>
    </w:p>
    <w:p w14:paraId="6CBAB7DB"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Meal Times for School Year 2021-2022</w:t>
      </w:r>
      <w:r w:rsidRPr="00CD487F">
        <w:rPr>
          <w:rStyle w:val="eop"/>
          <w:rFonts w:ascii="Arial" w:hAnsi="Arial" w:cs="Arial"/>
          <w:sz w:val="24"/>
          <w:szCs w:val="24"/>
        </w:rPr>
        <w:t> </w:t>
      </w:r>
    </w:p>
    <w:p w14:paraId="522C4AE3"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Parents and Guardians to Pick Up Meals for Children for School Year 2021-2022</w:t>
      </w:r>
      <w:r w:rsidRPr="00CD487F">
        <w:rPr>
          <w:rStyle w:val="eop"/>
          <w:rFonts w:ascii="Arial" w:hAnsi="Arial" w:cs="Arial"/>
          <w:sz w:val="24"/>
          <w:szCs w:val="24"/>
        </w:rPr>
        <w:t> </w:t>
      </w:r>
    </w:p>
    <w:p w14:paraId="0841C9E6"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School Meal Pattern Flexibility for School Year 2021-2022</w:t>
      </w:r>
      <w:r w:rsidRPr="00CD487F">
        <w:rPr>
          <w:rStyle w:val="eop"/>
          <w:rFonts w:ascii="Arial" w:hAnsi="Arial" w:cs="Arial"/>
          <w:sz w:val="24"/>
          <w:szCs w:val="24"/>
        </w:rPr>
        <w:t> </w:t>
      </w:r>
    </w:p>
    <w:p w14:paraId="5EEB317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Meal Pattern Flexibility in the Child and Adult Care Food Program for School Year 2021-2022</w:t>
      </w:r>
      <w:r w:rsidRPr="00CD487F">
        <w:rPr>
          <w:rStyle w:val="eop"/>
          <w:rFonts w:ascii="Arial" w:hAnsi="Arial" w:cs="Arial"/>
          <w:sz w:val="24"/>
          <w:szCs w:val="24"/>
        </w:rPr>
        <w:t> </w:t>
      </w:r>
    </w:p>
    <w:p w14:paraId="7FD5121E"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Offer Versus Serve Flexibility for Senior High Schools in School Year 2021-2022</w:t>
      </w:r>
      <w:r w:rsidRPr="00CD487F">
        <w:rPr>
          <w:rStyle w:val="eop"/>
          <w:rFonts w:ascii="Arial" w:hAnsi="Arial" w:cs="Arial"/>
          <w:sz w:val="24"/>
          <w:szCs w:val="24"/>
        </w:rPr>
        <w:t> </w:t>
      </w:r>
    </w:p>
    <w:p w14:paraId="2C25071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Area Eligibility in the Afterschool Programs and for Family Day Care Home Providers in School Year 2021-2022 </w:t>
      </w:r>
      <w:r w:rsidRPr="00CD487F">
        <w:rPr>
          <w:rStyle w:val="eop"/>
          <w:rFonts w:ascii="Arial" w:hAnsi="Arial" w:cs="Arial"/>
          <w:sz w:val="24"/>
          <w:szCs w:val="24"/>
        </w:rPr>
        <w:t> </w:t>
      </w:r>
    </w:p>
    <w:p w14:paraId="238D5F9C"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Onsite Monitoring Requirements in the School Meals Programs – Revised – EXTENSION </w:t>
      </w:r>
      <w:r w:rsidRPr="00CD487F">
        <w:rPr>
          <w:rStyle w:val="eop"/>
          <w:rFonts w:ascii="Arial" w:hAnsi="Arial" w:cs="Arial"/>
          <w:sz w:val="24"/>
          <w:szCs w:val="24"/>
        </w:rPr>
        <w:t> </w:t>
      </w:r>
    </w:p>
    <w:p w14:paraId="03ABD4D9" w14:textId="77777777" w:rsidR="00CD487F" w:rsidRPr="00CD487F" w:rsidRDefault="00CD487F" w:rsidP="00CD487F">
      <w:pPr>
        <w:pStyle w:val="paragraph"/>
        <w:numPr>
          <w:ilvl w:val="0"/>
          <w:numId w:val="6"/>
        </w:numPr>
        <w:textAlignment w:val="baseline"/>
        <w:rPr>
          <w:rStyle w:val="eop"/>
          <w:rFonts w:ascii="Arial" w:hAnsi="Arial" w:cs="Arial"/>
          <w:sz w:val="24"/>
          <w:szCs w:val="24"/>
        </w:rPr>
      </w:pPr>
      <w:r w:rsidRPr="00CD487F">
        <w:rPr>
          <w:rStyle w:val="normaltextrun1"/>
          <w:rFonts w:ascii="Arial" w:hAnsi="Arial" w:cs="Arial"/>
          <w:sz w:val="24"/>
          <w:szCs w:val="24"/>
        </w:rPr>
        <w:t>Nationwide Waiver of Onsite Monitoring Requirements for State Agencies in the Child and Adult Care Food Program – EXTENSION </w:t>
      </w:r>
      <w:r w:rsidRPr="00CD487F">
        <w:rPr>
          <w:rStyle w:val="eop"/>
          <w:rFonts w:ascii="Arial" w:hAnsi="Arial" w:cs="Arial"/>
          <w:sz w:val="24"/>
          <w:szCs w:val="24"/>
        </w:rPr>
        <w:t> </w:t>
      </w:r>
    </w:p>
    <w:p w14:paraId="668E8288" w14:textId="65658BAA"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Monitoring Requirements for Sponsors in the Child and Adult Care Food Program – EXTENSION  </w:t>
      </w:r>
      <w:r w:rsidRPr="00CD487F">
        <w:rPr>
          <w:rStyle w:val="eop"/>
          <w:rFonts w:ascii="Arial" w:hAnsi="Arial" w:cs="Arial"/>
          <w:sz w:val="24"/>
          <w:szCs w:val="24"/>
        </w:rPr>
        <w:t> </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480AAFB2" w14:textId="2F52A9D0" w:rsidR="00463222" w:rsidRDefault="00463222" w:rsidP="00463222">
      <w:pPr>
        <w:pStyle w:val="ListParagraph"/>
        <w:numPr>
          <w:ilvl w:val="0"/>
          <w:numId w:val="5"/>
        </w:numPr>
        <w:rPr>
          <w:rFonts w:ascii="Arial" w:hAnsi="Arial" w:cs="Arial"/>
        </w:rPr>
      </w:pPr>
      <w:r>
        <w:rPr>
          <w:rFonts w:ascii="Arial" w:hAnsi="Arial" w:cs="Arial"/>
        </w:rPr>
        <w:t>P-EBT and EBB Timeline</w:t>
      </w:r>
      <w:r w:rsidR="00F94661">
        <w:rPr>
          <w:rFonts w:ascii="Arial" w:hAnsi="Arial" w:cs="Arial"/>
        </w:rPr>
        <w:t xml:space="preserve"> We have a new flyer that shows the application timelines for P-EBT and the new Emergency Broad Band program. You can see the flyer under the June Bulletin.</w:t>
      </w:r>
    </w:p>
    <w:p w14:paraId="7A025F30" w14:textId="77777777" w:rsidR="00463222" w:rsidRPr="00463222" w:rsidRDefault="00463222" w:rsidP="00463222">
      <w:pPr>
        <w:pStyle w:val="ListParagraph"/>
        <w:rPr>
          <w:rFonts w:ascii="Arial" w:hAnsi="Arial" w:cs="Arial"/>
          <w:b/>
          <w:bCs/>
        </w:rPr>
      </w:pPr>
    </w:p>
    <w:p w14:paraId="4216EC62" w14:textId="1F3CC947" w:rsidR="00D40BE0" w:rsidRPr="00D40BE0" w:rsidRDefault="00D40BE0" w:rsidP="00D40BE0">
      <w:pPr>
        <w:pStyle w:val="ListParagraph"/>
        <w:numPr>
          <w:ilvl w:val="0"/>
          <w:numId w:val="5"/>
        </w:numPr>
        <w:rPr>
          <w:rFonts w:ascii="Arial" w:hAnsi="Arial" w:cs="Arial"/>
          <w:b/>
          <w:bCs/>
        </w:rPr>
      </w:pPr>
      <w:r w:rsidRPr="00D40BE0">
        <w:rPr>
          <w:rFonts w:ascii="Arial" w:hAnsi="Arial" w:cs="Arial"/>
          <w:b/>
          <w:bCs/>
          <w:i/>
          <w:iCs/>
          <w:color w:val="7030A0"/>
        </w:rPr>
        <w:t xml:space="preserve">New </w:t>
      </w:r>
      <w:r w:rsidRPr="00D40BE0">
        <w:rPr>
          <w:rFonts w:ascii="Arial" w:hAnsi="Arial" w:cs="Arial"/>
          <w:b/>
          <w:bCs/>
        </w:rPr>
        <w:t>- 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4"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lastRenderedPageBreak/>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5"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6"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7"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lastRenderedPageBreak/>
        <w:tab/>
      </w:r>
      <w:r>
        <w:rPr>
          <w:rFonts w:ascii="Arial" w:hAnsi="Arial" w:cs="Arial"/>
        </w:rPr>
        <w:tab/>
      </w:r>
      <w:hyperlink r:id="rId28"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9"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0"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CE8B572" w14:textId="254D6C8C" w:rsidR="00C60202" w:rsidRPr="0077426A" w:rsidRDefault="001E4833" w:rsidP="0077426A">
      <w:pPr>
        <w:pStyle w:val="Heading2"/>
        <w:tabs>
          <w:tab w:val="left" w:pos="9360"/>
        </w:tabs>
        <w:rPr>
          <w:u w:val="single"/>
        </w:rPr>
      </w:pPr>
      <w:r w:rsidRPr="001D798A">
        <w:rPr>
          <w:u w:val="single"/>
        </w:rPr>
        <w:t>Resources</w:t>
      </w:r>
      <w:r w:rsidR="001D798A">
        <w:rPr>
          <w:u w:val="single"/>
        </w:rPr>
        <w:tab/>
      </w:r>
    </w:p>
    <w:p w14:paraId="39FE19BC" w14:textId="77777777" w:rsidR="00C60202" w:rsidRPr="00C60202" w:rsidRDefault="00C60202" w:rsidP="00C60202">
      <w:pPr>
        <w:rPr>
          <w:rFonts w:ascii="Arial" w:hAnsi="Arial" w:cs="Arial"/>
          <w:b/>
          <w:bCs/>
        </w:rPr>
      </w:pPr>
    </w:p>
    <w:p w14:paraId="6636F979" w14:textId="0151236D" w:rsidR="00A860E6" w:rsidRPr="00A860E6" w:rsidRDefault="00A860E6" w:rsidP="00A860E6">
      <w:pPr>
        <w:pStyle w:val="ListParagraph"/>
        <w:numPr>
          <w:ilvl w:val="0"/>
          <w:numId w:val="7"/>
        </w:numPr>
        <w:rPr>
          <w:rFonts w:ascii="Arial" w:hAnsi="Arial" w:cs="Arial"/>
          <w:b/>
          <w:bCs/>
        </w:rPr>
      </w:pPr>
      <w:r w:rsidRPr="00A860E6">
        <w:rPr>
          <w:rFonts w:ascii="Arial" w:hAnsi="Arial" w:cs="Arial"/>
          <w:b/>
          <w:bCs/>
        </w:rPr>
        <w:t>2021-2022 NSLP/SBP Reimbursement Rate</w:t>
      </w:r>
      <w:r w:rsidR="00686025">
        <w:rPr>
          <w:rFonts w:ascii="Arial" w:hAnsi="Arial" w:cs="Arial"/>
          <w:b/>
          <w:bCs/>
        </w:rPr>
        <w:t xml:space="preserve"> </w:t>
      </w:r>
      <w:r w:rsidR="00686025">
        <w:rPr>
          <w:rFonts w:ascii="Arial" w:hAnsi="Arial" w:cs="Arial"/>
        </w:rPr>
        <w:t>You can locate</w:t>
      </w:r>
      <w:r w:rsidR="00686025" w:rsidRPr="00686025">
        <w:rPr>
          <w:rFonts w:ascii="Arial" w:hAnsi="Arial" w:cs="Arial"/>
        </w:rPr>
        <w:t xml:space="preserve"> the updated reimbursement rates for FY2021-2022 under the August bulletin at: </w:t>
      </w:r>
      <w:hyperlink r:id="rId31" w:history="1">
        <w:r w:rsidR="00686025" w:rsidRPr="00686025">
          <w:rPr>
            <w:rStyle w:val="Hyperlink"/>
            <w:rFonts w:ascii="Arial" w:hAnsi="Arial" w:cs="Arial"/>
          </w:rPr>
          <w:t>https://education.alaska.gov/cnp/nslp9</w:t>
        </w:r>
      </w:hyperlink>
      <w:r w:rsidR="00686025">
        <w:rPr>
          <w:rFonts w:ascii="Arial" w:hAnsi="Arial" w:cs="Arial"/>
          <w:b/>
          <w:bCs/>
        </w:rPr>
        <w:t xml:space="preserve"> </w:t>
      </w:r>
    </w:p>
    <w:p w14:paraId="1E776A55" w14:textId="77777777" w:rsidR="00A860E6" w:rsidRPr="00A860E6" w:rsidRDefault="00A860E6" w:rsidP="00A860E6">
      <w:pPr>
        <w:pStyle w:val="ListParagraph"/>
        <w:rPr>
          <w:rFonts w:ascii="Arial" w:hAnsi="Arial" w:cs="Arial"/>
        </w:rPr>
      </w:pPr>
    </w:p>
    <w:p w14:paraId="7F08F58C" w14:textId="4E012F10"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32"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to assist state, local, tribal, and territorial partners with the unprecedented challenges associated with the COVID-19 pandemic. The new version includes resources identified in the Consolidated Appropriations Act, CARES Act, and the American Rescue Plan Act. The roadmap is part of a series to assist partners in identifying sources of funding to help them with COVID-19 pandemic recovery.</w:t>
      </w:r>
    </w:p>
    <w:p w14:paraId="45D0FA3A" w14:textId="77777777" w:rsidR="00267BA9" w:rsidRDefault="00267BA9" w:rsidP="00267BA9">
      <w:pPr>
        <w:pStyle w:val="ListParagraph"/>
        <w:rPr>
          <w:rFonts w:ascii="Arial" w:hAnsi="Arial" w:cs="Arial"/>
          <w:b/>
          <w:bCs/>
        </w:rPr>
      </w:pPr>
    </w:p>
    <w:p w14:paraId="48AB67D9" w14:textId="5FEDEE04" w:rsidR="008F537D" w:rsidRPr="008F537D" w:rsidRDefault="008F537D" w:rsidP="008F537D">
      <w:pPr>
        <w:pStyle w:val="ListParagraph"/>
        <w:numPr>
          <w:ilvl w:val="0"/>
          <w:numId w:val="7"/>
        </w:numPr>
        <w:rPr>
          <w:rFonts w:ascii="Arial" w:hAnsi="Arial" w:cs="Arial"/>
          <w:b/>
          <w:bCs/>
        </w:rPr>
      </w:pPr>
      <w:r w:rsidRPr="008F537D">
        <w:rPr>
          <w:rFonts w:ascii="Arial" w:hAnsi="Arial" w:cs="Arial"/>
          <w:b/>
          <w:bCs/>
        </w:rPr>
        <w:t>2021-2022 Household Application Template with Parent letters</w:t>
      </w:r>
      <w:r>
        <w:rPr>
          <w:rFonts w:ascii="Arial" w:hAnsi="Arial" w:cs="Arial"/>
          <w:b/>
          <w:bCs/>
        </w:rPr>
        <w:t xml:space="preserve"> </w:t>
      </w:r>
      <w:r>
        <w:rPr>
          <w:rFonts w:ascii="Arial" w:hAnsi="Arial" w:cs="Arial"/>
        </w:rPr>
        <w:t xml:space="preserve">The updated Household Application with Parent letters can be found under the June Bulletin. </w:t>
      </w:r>
    </w:p>
    <w:p w14:paraId="3D0374FA" w14:textId="77777777" w:rsidR="008F537D" w:rsidRDefault="008F537D" w:rsidP="008F537D">
      <w:pPr>
        <w:pStyle w:val="ListParagraph"/>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33"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34"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r w:rsidRPr="009B05BC">
        <w:rPr>
          <w:rStyle w:val="Hyperlink"/>
          <w:rFonts w:ascii="Arial" w:hAnsi="Arial" w:cs="Arial"/>
        </w:rPr>
        <w:t xml:space="preserve">iLearn – </w:t>
      </w:r>
      <w:hyperlink r:id="rId35" w:history="1">
        <w:r w:rsidRPr="009B05BC">
          <w:rPr>
            <w:rStyle w:val="Hyperlink"/>
            <w:rFonts w:ascii="Arial" w:hAnsi="Arial" w:cs="Arial"/>
          </w:rPr>
          <w:t>ICN E-learning (docebosaas.com)</w:t>
        </w:r>
      </w:hyperlink>
    </w:p>
    <w:p w14:paraId="2DA424A9" w14:textId="77777777" w:rsidR="009B05BC" w:rsidRPr="009B05BC" w:rsidRDefault="006B38CA" w:rsidP="009B05BC">
      <w:pPr>
        <w:pStyle w:val="ListParagraph"/>
        <w:numPr>
          <w:ilvl w:val="1"/>
          <w:numId w:val="7"/>
        </w:numPr>
        <w:contextualSpacing w:val="0"/>
        <w:rPr>
          <w:rFonts w:ascii="Arial" w:hAnsi="Arial" w:cs="Arial"/>
        </w:rPr>
      </w:pPr>
      <w:hyperlink r:id="rId36"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6B38CA" w:rsidP="008956D9">
      <w:pPr>
        <w:pStyle w:val="ListParagraph"/>
        <w:rPr>
          <w:rFonts w:ascii="Arial" w:hAnsi="Arial" w:cs="Arial"/>
        </w:rPr>
      </w:pPr>
      <w:hyperlink r:id="rId37"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8"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lastRenderedPageBreak/>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9"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54CE6B2F" w14:textId="0DDA36F7" w:rsidR="00E725B2" w:rsidRPr="00E725B2" w:rsidRDefault="00E725B2" w:rsidP="00E725B2">
      <w:pPr>
        <w:pStyle w:val="ListParagraph"/>
        <w:numPr>
          <w:ilvl w:val="0"/>
          <w:numId w:val="27"/>
        </w:numPr>
        <w:rPr>
          <w:rFonts w:ascii="Arial" w:hAnsi="Arial" w:cs="Arial"/>
          <w:b/>
          <w:iCs/>
        </w:rPr>
      </w:pPr>
      <w:r w:rsidRPr="00E725B2">
        <w:rPr>
          <w:rFonts w:ascii="Arial" w:hAnsi="Arial" w:cs="Arial"/>
          <w:b/>
          <w:iCs/>
        </w:rPr>
        <w:t>2021 USDA Equipment Grant</w:t>
      </w:r>
      <w:r>
        <w:rPr>
          <w:rFonts w:ascii="Arial" w:hAnsi="Arial" w:cs="Arial"/>
          <w:b/>
          <w:iCs/>
        </w:rPr>
        <w:t xml:space="preserve"> </w:t>
      </w:r>
      <w:r w:rsidRPr="00E725B2">
        <w:rPr>
          <w:rFonts w:ascii="Arial" w:hAnsi="Arial" w:cs="Arial"/>
          <w:b/>
        </w:rPr>
        <w:t>Applications are due to Alaska Child Nutrition Programs by August 31</w:t>
      </w:r>
      <w:r w:rsidRPr="00E725B2">
        <w:rPr>
          <w:rFonts w:ascii="Arial" w:hAnsi="Arial" w:cs="Arial"/>
          <w:b/>
          <w:vertAlign w:val="superscript"/>
        </w:rPr>
        <w:t>st</w:t>
      </w:r>
      <w:r w:rsidRPr="00E725B2">
        <w:rPr>
          <w:rFonts w:ascii="Arial" w:hAnsi="Arial" w:cs="Arial"/>
          <w:b/>
        </w:rPr>
        <w:t xml:space="preserve"> by 4:30 p.m. </w:t>
      </w:r>
      <w:r w:rsidRPr="00E725B2">
        <w:rPr>
          <w:rFonts w:ascii="Arial" w:hAnsi="Arial" w:cs="Arial"/>
        </w:rPr>
        <w:t>These funds will be available through a competitive grant process. The maximum award per grantee will be $10,000. Priority will be given to schools that did not previously receive funds from either the 2009 ARRA, 2010 USDA, 2014, 2015, 2016, 2017, 2018</w:t>
      </w:r>
      <w:r>
        <w:rPr>
          <w:rFonts w:ascii="Arial" w:hAnsi="Arial" w:cs="Arial"/>
        </w:rPr>
        <w:t>,</w:t>
      </w:r>
      <w:r w:rsidRPr="00E725B2">
        <w:rPr>
          <w:rFonts w:ascii="Arial" w:hAnsi="Arial" w:cs="Arial"/>
        </w:rPr>
        <w:t xml:space="preserve"> 2019</w:t>
      </w:r>
      <w:r>
        <w:rPr>
          <w:rFonts w:ascii="Arial" w:hAnsi="Arial" w:cs="Arial"/>
        </w:rPr>
        <w:t>, or 2020</w:t>
      </w:r>
      <w:r w:rsidRPr="00E725B2">
        <w:rPr>
          <w:rFonts w:ascii="Arial" w:hAnsi="Arial" w:cs="Arial"/>
        </w:rPr>
        <w:t xml:space="preserve"> Equipment Grant. </w:t>
      </w:r>
    </w:p>
    <w:p w14:paraId="0DF2D3CD" w14:textId="77777777" w:rsidR="00E725B2" w:rsidRDefault="00E725B2" w:rsidP="00E725B2">
      <w:pPr>
        <w:pStyle w:val="ListParagraph"/>
        <w:rPr>
          <w:rFonts w:ascii="Arial" w:hAnsi="Arial" w:cs="Arial"/>
        </w:rPr>
      </w:pPr>
    </w:p>
    <w:p w14:paraId="37B41E43" w14:textId="77777777" w:rsidR="00E725B2" w:rsidRPr="00F730F3" w:rsidRDefault="00E725B2" w:rsidP="00E725B2">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13F9D26D" w14:textId="77777777" w:rsidR="00E725B2" w:rsidRDefault="00E725B2" w:rsidP="00E725B2">
      <w:pPr>
        <w:pStyle w:val="ListParagraph"/>
        <w:rPr>
          <w:sz w:val="23"/>
          <w:szCs w:val="23"/>
        </w:rPr>
      </w:pPr>
    </w:p>
    <w:p w14:paraId="720A4A27" w14:textId="5AD9E207" w:rsidR="00E725B2" w:rsidRPr="00C96458" w:rsidRDefault="00145679" w:rsidP="00E725B2">
      <w:pPr>
        <w:pStyle w:val="ListParagraph"/>
        <w:rPr>
          <w:rFonts w:ascii="Arial" w:hAnsi="Arial" w:cs="Arial"/>
        </w:rPr>
      </w:pPr>
      <w:r>
        <w:rPr>
          <w:rFonts w:ascii="Arial" w:hAnsi="Arial" w:cs="Arial"/>
        </w:rPr>
        <w:t>All requests for reimbursement for this grant must be submitted by</w:t>
      </w:r>
      <w:r w:rsidR="00E725B2">
        <w:rPr>
          <w:rFonts w:ascii="Arial" w:hAnsi="Arial" w:cs="Arial"/>
        </w:rPr>
        <w:t xml:space="preserve"> </w:t>
      </w:r>
      <w:r w:rsidR="00E725B2">
        <w:rPr>
          <w:rFonts w:ascii="Arial" w:hAnsi="Arial" w:cs="Arial"/>
          <w:b/>
        </w:rPr>
        <w:t>April 30, 2022</w:t>
      </w:r>
      <w:r w:rsidR="00E725B2" w:rsidRPr="00605719">
        <w:rPr>
          <w:rFonts w:ascii="Arial" w:hAnsi="Arial" w:cs="Arial"/>
        </w:rPr>
        <w:t xml:space="preserve">. </w:t>
      </w:r>
      <w:r w:rsidR="00E725B2">
        <w:rPr>
          <w:rFonts w:ascii="Arial" w:hAnsi="Arial" w:cs="Arial"/>
        </w:rPr>
        <w:t xml:space="preserve">For more information on this grant or to fill out and application go to: </w:t>
      </w:r>
      <w:hyperlink r:id="rId40" w:history="1">
        <w:r w:rsidR="00E725B2" w:rsidRPr="00F730F3">
          <w:rPr>
            <w:rStyle w:val="Hyperlink"/>
            <w:rFonts w:ascii="Arial" w:hAnsi="Arial" w:cs="Arial"/>
          </w:rPr>
          <w:t>Bulletin and Memos</w:t>
        </w:r>
      </w:hyperlink>
      <w:r w:rsidR="00E725B2">
        <w:rPr>
          <w:rFonts w:ascii="Arial" w:hAnsi="Arial" w:cs="Arial"/>
        </w:rPr>
        <w:t xml:space="preserve"> web page the application will be under the June bulletin. Or you may contact </w:t>
      </w:r>
      <w:hyperlink r:id="rId41" w:history="1">
        <w:r w:rsidR="00E725B2" w:rsidRPr="00B002A5">
          <w:rPr>
            <w:rStyle w:val="Hyperlink"/>
            <w:rFonts w:ascii="Arial" w:hAnsi="Arial" w:cs="Arial"/>
          </w:rPr>
          <w:t>Elizabeth Seitz</w:t>
        </w:r>
      </w:hyperlink>
      <w:r w:rsidR="00E725B2">
        <w:rPr>
          <w:rFonts w:ascii="Arial" w:hAnsi="Arial" w:cs="Arial"/>
        </w:rPr>
        <w:t xml:space="preserve"> at 907.465.8709 or </w:t>
      </w:r>
      <w:hyperlink r:id="rId42" w:history="1">
        <w:r w:rsidR="00E725B2" w:rsidRPr="00F2276B">
          <w:rPr>
            <w:rStyle w:val="Hyperlink"/>
            <w:rFonts w:ascii="Arial" w:hAnsi="Arial" w:cs="Arial"/>
          </w:rPr>
          <w:t>Elizabeth.seitz@alaska.gov</w:t>
        </w:r>
      </w:hyperlink>
      <w:r w:rsidR="00E725B2">
        <w:rPr>
          <w:rFonts w:ascii="Arial" w:hAnsi="Arial" w:cs="Arial"/>
        </w:rPr>
        <w:t xml:space="preserve"> .</w:t>
      </w:r>
    </w:p>
    <w:p w14:paraId="3EA82CE0" w14:textId="77777777" w:rsidR="00E725B2" w:rsidRPr="008527C1" w:rsidRDefault="00E725B2" w:rsidP="00E725B2">
      <w:pPr>
        <w:pStyle w:val="ListParagraph"/>
        <w:rPr>
          <w:rFonts w:ascii="Arial" w:hAnsi="Arial" w:cs="Arial"/>
          <w:bCs/>
          <w:iCs/>
        </w:rPr>
      </w:pPr>
    </w:p>
    <w:p w14:paraId="187719EA" w14:textId="20C8B7D5" w:rsidR="00EF22D4" w:rsidRDefault="00EF22D4" w:rsidP="001E4833">
      <w:pPr>
        <w:ind w:left="360"/>
        <w:jc w:val="center"/>
        <w:rPr>
          <w:rFonts w:ascii="Arial" w:hAnsi="Arial" w:cs="Arial"/>
          <w:b/>
          <w:bCs/>
          <w:color w:val="7030A0"/>
          <w:sz w:val="32"/>
          <w:szCs w:val="32"/>
        </w:rPr>
      </w:pPr>
    </w:p>
    <w:p w14:paraId="4F4138CD" w14:textId="77777777" w:rsidR="00686025" w:rsidRDefault="00686025"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2CE7F46E" w14:textId="5998ED70" w:rsidR="006C617A" w:rsidRDefault="006C617A" w:rsidP="00CD487F">
      <w:pPr>
        <w:tabs>
          <w:tab w:val="left" w:pos="2880"/>
        </w:tabs>
        <w:rPr>
          <w:rFonts w:ascii="Arial" w:hAnsi="Arial" w:cs="Arial"/>
          <w:b/>
        </w:rPr>
      </w:pPr>
    </w:p>
    <w:p w14:paraId="5AD9B47B" w14:textId="142CEE53" w:rsidR="006C617A" w:rsidRDefault="006C617A" w:rsidP="009958E8">
      <w:pPr>
        <w:tabs>
          <w:tab w:val="left" w:pos="2880"/>
        </w:tabs>
        <w:ind w:left="2880" w:hanging="2880"/>
        <w:rPr>
          <w:rFonts w:ascii="Arial" w:hAnsi="Arial" w:cs="Arial"/>
          <w:b/>
        </w:rPr>
      </w:pPr>
      <w:r>
        <w:rPr>
          <w:rFonts w:ascii="Arial" w:hAnsi="Arial" w:cs="Arial"/>
          <w:b/>
        </w:rPr>
        <w:t>Aug.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Applications for CEP or Provision 3 are due </w:t>
      </w:r>
    </w:p>
    <w:p w14:paraId="1ABF99DB" w14:textId="437E26C6" w:rsidR="00686025" w:rsidRDefault="00686025" w:rsidP="009958E8">
      <w:pPr>
        <w:tabs>
          <w:tab w:val="left" w:pos="2880"/>
        </w:tabs>
        <w:ind w:left="2880" w:hanging="2880"/>
        <w:rPr>
          <w:rFonts w:ascii="Arial" w:hAnsi="Arial" w:cs="Arial"/>
          <w:b/>
        </w:rPr>
      </w:pPr>
    </w:p>
    <w:p w14:paraId="59A246F4" w14:textId="53E92574" w:rsidR="00686025" w:rsidRDefault="00686025" w:rsidP="009958E8">
      <w:pPr>
        <w:tabs>
          <w:tab w:val="left" w:pos="2880"/>
        </w:tabs>
        <w:ind w:left="2880" w:hanging="2880"/>
        <w:rPr>
          <w:rFonts w:ascii="Arial" w:hAnsi="Arial" w:cs="Arial"/>
          <w:b/>
        </w:rPr>
      </w:pPr>
      <w:r>
        <w:rPr>
          <w:rFonts w:ascii="Arial" w:hAnsi="Arial" w:cs="Arial"/>
          <w:b/>
        </w:rPr>
        <w:t>Aug. 31</w:t>
      </w:r>
      <w:r w:rsidRPr="00686025">
        <w:rPr>
          <w:rFonts w:ascii="Arial" w:hAnsi="Arial" w:cs="Arial"/>
          <w:b/>
          <w:vertAlign w:val="superscript"/>
        </w:rPr>
        <w:t>st</w:t>
      </w:r>
      <w:r>
        <w:rPr>
          <w:rFonts w:ascii="Arial" w:hAnsi="Arial" w:cs="Arial"/>
          <w:b/>
        </w:rPr>
        <w:t xml:space="preserve"> </w:t>
      </w:r>
      <w:r>
        <w:rPr>
          <w:rFonts w:ascii="Arial" w:hAnsi="Arial" w:cs="Arial"/>
          <w:b/>
        </w:rPr>
        <w:tab/>
        <w:t>Sponsor CNP web application renewal must be completed</w:t>
      </w:r>
    </w:p>
    <w:p w14:paraId="324EB599" w14:textId="10997BFC" w:rsidR="006B38CA" w:rsidRDefault="006B38CA" w:rsidP="009958E8">
      <w:pPr>
        <w:tabs>
          <w:tab w:val="left" w:pos="2880"/>
        </w:tabs>
        <w:ind w:left="2880" w:hanging="2880"/>
        <w:rPr>
          <w:rFonts w:ascii="Arial" w:hAnsi="Arial" w:cs="Arial"/>
          <w:b/>
        </w:rPr>
      </w:pPr>
    </w:p>
    <w:p w14:paraId="6B363E5F" w14:textId="01849D98" w:rsidR="006B38CA" w:rsidRDefault="006B38CA" w:rsidP="009958E8">
      <w:pPr>
        <w:tabs>
          <w:tab w:val="left" w:pos="2880"/>
        </w:tabs>
        <w:ind w:left="2880" w:hanging="2880"/>
        <w:rPr>
          <w:rFonts w:ascii="Arial" w:hAnsi="Arial" w:cs="Arial"/>
          <w:b/>
        </w:rPr>
      </w:pPr>
      <w:r>
        <w:rPr>
          <w:rFonts w:ascii="Arial" w:hAnsi="Arial" w:cs="Arial"/>
          <w:b/>
        </w:rPr>
        <w:t>Aug. 31</w:t>
      </w:r>
      <w:r w:rsidRPr="006B38CA">
        <w:rPr>
          <w:rFonts w:ascii="Arial" w:hAnsi="Arial" w:cs="Arial"/>
          <w:b/>
          <w:vertAlign w:val="superscript"/>
        </w:rPr>
        <w:t>st</w:t>
      </w:r>
      <w:r>
        <w:rPr>
          <w:rFonts w:ascii="Arial" w:hAnsi="Arial" w:cs="Arial"/>
          <w:b/>
        </w:rPr>
        <w:t xml:space="preserve"> </w:t>
      </w:r>
      <w:r>
        <w:rPr>
          <w:rFonts w:ascii="Arial" w:hAnsi="Arial" w:cs="Arial"/>
          <w:b/>
        </w:rPr>
        <w:tab/>
        <w:t>CEP or Provision Application must be submitted for Approval</w:t>
      </w:r>
    </w:p>
    <w:p w14:paraId="475B6F74" w14:textId="19CF834B" w:rsidR="00686025" w:rsidRDefault="00686025" w:rsidP="009958E8">
      <w:pPr>
        <w:tabs>
          <w:tab w:val="left" w:pos="2880"/>
        </w:tabs>
        <w:ind w:left="2880" w:hanging="2880"/>
        <w:rPr>
          <w:rFonts w:ascii="Arial" w:hAnsi="Arial" w:cs="Arial"/>
          <w:b/>
        </w:rPr>
      </w:pPr>
    </w:p>
    <w:p w14:paraId="48EC9908" w14:textId="77777777" w:rsidR="00686025" w:rsidRDefault="00686025" w:rsidP="009958E8">
      <w:pPr>
        <w:tabs>
          <w:tab w:val="left" w:pos="2880"/>
        </w:tabs>
        <w:ind w:left="2880" w:hanging="2880"/>
        <w:rPr>
          <w:rFonts w:ascii="Arial" w:hAnsi="Arial" w:cs="Arial"/>
          <w:b/>
        </w:rPr>
      </w:pP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2"/>
  </w:num>
  <w:num w:numId="4">
    <w:abstractNumId w:val="21"/>
  </w:num>
  <w:num w:numId="5">
    <w:abstractNumId w:val="8"/>
  </w:num>
  <w:num w:numId="6">
    <w:abstractNumId w:val="0"/>
  </w:num>
  <w:num w:numId="7">
    <w:abstractNumId w:val="9"/>
  </w:num>
  <w:num w:numId="8">
    <w:abstractNumId w:val="6"/>
  </w:num>
  <w:num w:numId="9">
    <w:abstractNumId w:val="12"/>
  </w:num>
  <w:num w:numId="10">
    <w:abstractNumId w:val="23"/>
  </w:num>
  <w:num w:numId="11">
    <w:abstractNumId w:val="32"/>
  </w:num>
  <w:num w:numId="12">
    <w:abstractNumId w:val="20"/>
  </w:num>
  <w:num w:numId="13">
    <w:abstractNumId w:val="26"/>
  </w:num>
  <w:num w:numId="14">
    <w:abstractNumId w:val="5"/>
  </w:num>
  <w:num w:numId="15">
    <w:abstractNumId w:val="11"/>
  </w:num>
  <w:num w:numId="16">
    <w:abstractNumId w:val="33"/>
  </w:num>
  <w:num w:numId="17">
    <w:abstractNumId w:val="10"/>
  </w:num>
  <w:num w:numId="18">
    <w:abstractNumId w:val="4"/>
  </w:num>
  <w:num w:numId="19">
    <w:abstractNumId w:val="13"/>
  </w:num>
  <w:num w:numId="20">
    <w:abstractNumId w:val="29"/>
  </w:num>
  <w:num w:numId="21">
    <w:abstractNumId w:val="19"/>
  </w:num>
  <w:num w:numId="22">
    <w:abstractNumId w:val="7"/>
  </w:num>
  <w:num w:numId="23">
    <w:abstractNumId w:val="17"/>
  </w:num>
  <w:num w:numId="24">
    <w:abstractNumId w:val="16"/>
  </w:num>
  <w:num w:numId="25">
    <w:abstractNumId w:val="31"/>
  </w:num>
  <w:num w:numId="26">
    <w:abstractNumId w:val="15"/>
  </w:num>
  <w:num w:numId="27">
    <w:abstractNumId w:val="3"/>
  </w:num>
  <w:num w:numId="28">
    <w:abstractNumId w:val="24"/>
  </w:num>
  <w:num w:numId="29">
    <w:abstractNumId w:val="14"/>
  </w:num>
  <w:num w:numId="30">
    <w:abstractNumId w:val="2"/>
  </w:num>
  <w:num w:numId="31">
    <w:abstractNumId w:val="25"/>
  </w:num>
  <w:num w:numId="32">
    <w:abstractNumId w:val="30"/>
  </w:num>
  <w:num w:numId="33">
    <w:abstractNumId w:val="18"/>
  </w:num>
  <w:num w:numId="3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50C2"/>
    <w:rsid w:val="000701F0"/>
    <w:rsid w:val="00070268"/>
    <w:rsid w:val="00070B26"/>
    <w:rsid w:val="00073805"/>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67BA9"/>
    <w:rsid w:val="00273A85"/>
    <w:rsid w:val="002745B4"/>
    <w:rsid w:val="00275276"/>
    <w:rsid w:val="00282C6D"/>
    <w:rsid w:val="00286B9D"/>
    <w:rsid w:val="002A6A86"/>
    <w:rsid w:val="002B2CAF"/>
    <w:rsid w:val="002B3B3C"/>
    <w:rsid w:val="002B4F4B"/>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07811"/>
    <w:rsid w:val="0041398C"/>
    <w:rsid w:val="004278E9"/>
    <w:rsid w:val="004322A3"/>
    <w:rsid w:val="0043463E"/>
    <w:rsid w:val="0044218A"/>
    <w:rsid w:val="0044246D"/>
    <w:rsid w:val="00452C13"/>
    <w:rsid w:val="00463222"/>
    <w:rsid w:val="00475E24"/>
    <w:rsid w:val="0048153F"/>
    <w:rsid w:val="004850BE"/>
    <w:rsid w:val="00493BD0"/>
    <w:rsid w:val="00494853"/>
    <w:rsid w:val="00494BF3"/>
    <w:rsid w:val="00495049"/>
    <w:rsid w:val="004A08AF"/>
    <w:rsid w:val="004A1FC7"/>
    <w:rsid w:val="004A41BC"/>
    <w:rsid w:val="004A4BA8"/>
    <w:rsid w:val="004B47C1"/>
    <w:rsid w:val="004D0C87"/>
    <w:rsid w:val="004E0941"/>
    <w:rsid w:val="004E78DE"/>
    <w:rsid w:val="00500765"/>
    <w:rsid w:val="0050116E"/>
    <w:rsid w:val="0050638F"/>
    <w:rsid w:val="00513D3E"/>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13D9"/>
    <w:rsid w:val="009A5B5A"/>
    <w:rsid w:val="009A7529"/>
    <w:rsid w:val="009B05BC"/>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C145C"/>
    <w:rsid w:val="00AD16B0"/>
    <w:rsid w:val="00AD51C6"/>
    <w:rsid w:val="00AD6902"/>
    <w:rsid w:val="00AE15F4"/>
    <w:rsid w:val="00AF557B"/>
    <w:rsid w:val="00B002A5"/>
    <w:rsid w:val="00B037B5"/>
    <w:rsid w:val="00B1381B"/>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487F"/>
    <w:rsid w:val="00CD7EFF"/>
    <w:rsid w:val="00CE4D4D"/>
    <w:rsid w:val="00CE5D15"/>
    <w:rsid w:val="00CE7842"/>
    <w:rsid w:val="00CE7995"/>
    <w:rsid w:val="00CF5CEF"/>
    <w:rsid w:val="00CF69D0"/>
    <w:rsid w:val="00CF6D3F"/>
    <w:rsid w:val="00D015C0"/>
    <w:rsid w:val="00D02551"/>
    <w:rsid w:val="00D12237"/>
    <w:rsid w:val="00D13D6D"/>
    <w:rsid w:val="00D27FBE"/>
    <w:rsid w:val="00D27FF1"/>
    <w:rsid w:val="00D3104C"/>
    <w:rsid w:val="00D40BE0"/>
    <w:rsid w:val="00D46D8E"/>
    <w:rsid w:val="00D55A5B"/>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D8C"/>
    <w:rsid w:val="00F67CE4"/>
    <w:rsid w:val="00F730F3"/>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heicn.org/cicn/" TargetMode="External"/><Relationship Id="rId26" Type="http://schemas.openxmlformats.org/officeDocument/2006/relationships/hyperlink" Target="mailto:program.intake@usda.gov" TargetMode="External"/><Relationship Id="rId39" Type="http://schemas.openxmlformats.org/officeDocument/2006/relationships/hyperlink" Target="http://list.state.ak.us/mailman/listinfo/ak_child_nutrition_programs" TargetMode="External"/><Relationship Id="rId21" Type="http://schemas.openxmlformats.org/officeDocument/2006/relationships/hyperlink" Target="https://www.fns.usda.gov/coronavirus" TargetMode="External"/><Relationship Id="rId34" Type="http://schemas.openxmlformats.org/officeDocument/2006/relationships/hyperlink" Target="https://theicn.org/cicn/" TargetMode="External"/><Relationship Id="rId42" Type="http://schemas.openxmlformats.org/officeDocument/2006/relationships/hyperlink" Target="mailto:Elizabeth.seitz@alask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0" Type="http://schemas.openxmlformats.org/officeDocument/2006/relationships/hyperlink" Target="https://theicn.org/cnss/" TargetMode="External"/><Relationship Id="rId29" Type="http://schemas.openxmlformats.org/officeDocument/2006/relationships/hyperlink" Target="mailto:Elizabeth.seitz@alaska.gov" TargetMode="External"/><Relationship Id="rId41" Type="http://schemas.openxmlformats.org/officeDocument/2006/relationships/hyperlink" Target="mailto:Elizabeth.seitz@al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ducation.alaska.gov/cnp/pandemic-ebt" TargetMode="External"/><Relationship Id="rId32" Type="http://schemas.openxmlformats.org/officeDocument/2006/relationships/hyperlink" Target="https://urldefense.com/v3/__http:/iz1.me/g5ae2zP1E4c__;!!J2_8gdp6gZQ!4eUBGVXDFcuUXul9jR8_VaIyZF-20yJJH7A-_VmeQTmAR7VvkCYK_ClIkNDElh-kRpNT$" TargetMode="External"/><Relationship Id="rId37" Type="http://schemas.openxmlformats.org/officeDocument/2006/relationships/hyperlink" Target="https://alwaysfoodsafe.com/food-protection-manager?state=Alaska&amp;county=All%20counties%20(Todos%20los%20condados)" TargetMode="External"/><Relationship Id="rId40" Type="http://schemas.openxmlformats.org/officeDocument/2006/relationships/hyperlink" Target="https://education.alaska.gov/cnp/nslp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education.alaska.gov/cnp/primero" TargetMode="External"/><Relationship Id="rId36" Type="http://schemas.openxmlformats.org/officeDocument/2006/relationships/hyperlink" Target="https://theicn.org/cnss/" TargetMode="External"/><Relationship Id="rId10" Type="http://schemas.openxmlformats.org/officeDocument/2006/relationships/header" Target="header1.xml"/><Relationship Id="rId19" Type="http://schemas.openxmlformats.org/officeDocument/2006/relationships/hyperlink" Target="https://theicn.docebosaas.com/learn/signin" TargetMode="External"/><Relationship Id="rId31" Type="http://schemas.openxmlformats.org/officeDocument/2006/relationships/hyperlink" Target="https://education.alaska.gov/cnp/nslp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https://education.alaska.gov/cnp/nslp3" TargetMode="External"/><Relationship Id="rId30" Type="http://schemas.openxmlformats.org/officeDocument/2006/relationships/hyperlink" Target="mailto:Debbie.soto@alaska.gov" TargetMode="External"/><Relationship Id="rId35" Type="http://schemas.openxmlformats.org/officeDocument/2006/relationships/hyperlink" Target="https://theicn.docebosaas.com/learn/signin"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www.usda.gov/sites/default/files/documents/USDA-OASCR%20P-Complaint-Form-0508-0002-508-11-28-17Fax2Mail.pdf" TargetMode="External"/><Relationship Id="rId33" Type="http://schemas.openxmlformats.org/officeDocument/2006/relationships/hyperlink" Target="https://education.alaska.gov/cnp/nslp9" TargetMode="External"/><Relationship Id="rId38" Type="http://schemas.openxmlformats.org/officeDocument/2006/relationships/hyperlink" Target="https://foodbuyingguide.fns.usda.gov/Appendix/DownLoadF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6</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16801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9</cp:revision>
  <cp:lastPrinted>2020-06-03T17:31:00Z</cp:lastPrinted>
  <dcterms:created xsi:type="dcterms:W3CDTF">2021-08-02T19:02:00Z</dcterms:created>
  <dcterms:modified xsi:type="dcterms:W3CDTF">2021-08-05T22:03:00Z</dcterms:modified>
</cp:coreProperties>
</file>