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64E1" w14:textId="77777777" w:rsidR="00F94F46" w:rsidRDefault="00F94F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5385"/>
      </w:tblGrid>
      <w:tr w:rsidR="00F94F46" w14:paraId="6B7C71C9" w14:textId="77777777">
        <w:tc>
          <w:tcPr>
            <w:tcW w:w="10770" w:type="dxa"/>
            <w:gridSpan w:val="2"/>
            <w:shd w:val="clear" w:color="auto" w:fill="D9D9D9"/>
          </w:tcPr>
          <w:p w14:paraId="04EBF757" w14:textId="77777777" w:rsidR="00F94F4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 Description</w:t>
            </w:r>
          </w:p>
        </w:tc>
      </w:tr>
      <w:tr w:rsidR="00F94F46" w14:paraId="70C697B2" w14:textId="77777777">
        <w:tc>
          <w:tcPr>
            <w:tcW w:w="10770" w:type="dxa"/>
            <w:gridSpan w:val="2"/>
          </w:tcPr>
          <w:p w14:paraId="20261A2B" w14:textId="77777777" w:rsidR="00F94F46" w:rsidRDefault="00000000">
            <w:r>
              <w:rPr>
                <w:b/>
                <w:sz w:val="24"/>
                <w:szCs w:val="24"/>
              </w:rPr>
              <w:t>Name of Vendor:</w:t>
            </w:r>
            <w:r>
              <w:rPr>
                <w:sz w:val="24"/>
                <w:szCs w:val="24"/>
              </w:rPr>
              <w:t xml:space="preserve">  NWEA Professional Learning</w:t>
            </w:r>
          </w:p>
        </w:tc>
      </w:tr>
      <w:tr w:rsidR="00F94F46" w14:paraId="2A28F3C8" w14:textId="77777777">
        <w:tc>
          <w:tcPr>
            <w:tcW w:w="10770" w:type="dxa"/>
            <w:gridSpan w:val="2"/>
          </w:tcPr>
          <w:p w14:paraId="0DB66AB9" w14:textId="77777777" w:rsidR="00F94F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Name of Class: </w:t>
            </w:r>
            <w:r>
              <w:rPr>
                <w:color w:val="000000"/>
                <w:sz w:val="24"/>
                <w:szCs w:val="24"/>
              </w:rPr>
              <w:t>Alaska Science of Reading for Lead</w:t>
            </w:r>
            <w:r>
              <w:rPr>
                <w:sz w:val="24"/>
                <w:szCs w:val="24"/>
              </w:rPr>
              <w:t>ers</w:t>
            </w:r>
          </w:p>
        </w:tc>
      </w:tr>
      <w:tr w:rsidR="00F94F46" w14:paraId="727447D7" w14:textId="77777777">
        <w:tc>
          <w:tcPr>
            <w:tcW w:w="10770" w:type="dxa"/>
            <w:gridSpan w:val="2"/>
          </w:tcPr>
          <w:p w14:paraId="001CF875" w14:textId="77777777" w:rsidR="00F94F46" w:rsidRDefault="00000000">
            <w:r>
              <w:rPr>
                <w:b/>
                <w:sz w:val="24"/>
                <w:szCs w:val="24"/>
              </w:rPr>
              <w:t>Publication Year:</w:t>
            </w:r>
            <w:r>
              <w:rPr>
                <w:sz w:val="24"/>
                <w:szCs w:val="24"/>
              </w:rPr>
              <w:t xml:space="preserve"> 2023</w:t>
            </w:r>
          </w:p>
        </w:tc>
      </w:tr>
      <w:tr w:rsidR="00F94F46" w14:paraId="5BE0D80C" w14:textId="77777777">
        <w:tc>
          <w:tcPr>
            <w:tcW w:w="10770" w:type="dxa"/>
            <w:gridSpan w:val="2"/>
          </w:tcPr>
          <w:p w14:paraId="71F4EACE" w14:textId="77777777" w:rsidR="00F94F46" w:rsidRDefault="00000000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 xml:space="preserve">: Athena Hill </w:t>
            </w:r>
          </w:p>
        </w:tc>
      </w:tr>
      <w:tr w:rsidR="00F94F46" w14:paraId="6700DCB7" w14:textId="77777777">
        <w:tc>
          <w:tcPr>
            <w:tcW w:w="10770" w:type="dxa"/>
            <w:gridSpan w:val="2"/>
          </w:tcPr>
          <w:p w14:paraId="5BCD1DE6" w14:textId="77777777" w:rsidR="00F94F46" w:rsidRDefault="00000000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503.624.1951</w:t>
            </w:r>
          </w:p>
        </w:tc>
      </w:tr>
      <w:tr w:rsidR="00F94F46" w14:paraId="1B9E69CA" w14:textId="77777777">
        <w:trPr>
          <w:trHeight w:val="307"/>
        </w:trPr>
        <w:tc>
          <w:tcPr>
            <w:tcW w:w="10770" w:type="dxa"/>
            <w:gridSpan w:val="2"/>
          </w:tcPr>
          <w:p w14:paraId="2720425B" w14:textId="77777777" w:rsidR="00F94F46" w:rsidRDefault="00000000">
            <w:r>
              <w:rPr>
                <w:b/>
                <w:sz w:val="24"/>
                <w:szCs w:val="24"/>
              </w:rPr>
              <w:t xml:space="preserve">Email Address: </w:t>
            </w: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athena.hill@nwea.org</w:t>
              </w:r>
            </w:hyperlink>
          </w:p>
        </w:tc>
      </w:tr>
      <w:tr w:rsidR="00F94F46" w14:paraId="547F5298" w14:textId="77777777">
        <w:tc>
          <w:tcPr>
            <w:tcW w:w="10770" w:type="dxa"/>
            <w:gridSpan w:val="2"/>
          </w:tcPr>
          <w:p w14:paraId="274D1DDC" w14:textId="77777777" w:rsidR="00F94F46" w:rsidRDefault="00000000">
            <w:r>
              <w:rPr>
                <w:b/>
                <w:sz w:val="24"/>
                <w:szCs w:val="24"/>
              </w:rPr>
              <w:t xml:space="preserve">Website: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dpdol.nwea.org/pl/sa/AK/AK_Literacy_LeadershipRegistration_Flyer_FY23.pdf</w:t>
              </w:r>
            </w:hyperlink>
          </w:p>
        </w:tc>
      </w:tr>
      <w:tr w:rsidR="00F94F46" w14:paraId="392B7F0E" w14:textId="77777777">
        <w:trPr>
          <w:trHeight w:val="923"/>
        </w:trPr>
        <w:tc>
          <w:tcPr>
            <w:tcW w:w="5385" w:type="dxa"/>
          </w:tcPr>
          <w:p w14:paraId="33906A9C" w14:textId="77777777" w:rsidR="00F94F4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Audience:</w:t>
            </w:r>
          </w:p>
          <w:p w14:paraId="4656B0E6" w14:textId="77777777" w:rsidR="00F94F46" w:rsidRDefault="00000000">
            <w:pPr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Principals and </w:t>
            </w:r>
            <w:r>
              <w:t>Administrators</w:t>
            </w:r>
            <w:r>
              <w:rPr>
                <w:sz w:val="24"/>
                <w:szCs w:val="24"/>
              </w:rPr>
              <w:t xml:space="preserve"> </w:t>
            </w:r>
          </w:p>
          <w:p w14:paraId="06CD3350" w14:textId="77777777" w:rsidR="00F94F46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Education Lead</w:t>
            </w:r>
          </w:p>
          <w:p w14:paraId="093629AE" w14:textId="77777777" w:rsidR="00F94F46" w:rsidRDefault="00000000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K-3 Teachers </w:t>
            </w:r>
          </w:p>
          <w:p w14:paraId="7DE9B2BA" w14:textId="77777777" w:rsidR="00F94F46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K-12 Teachers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97A8475" w14:textId="77777777" w:rsidR="00F94F46" w:rsidRDefault="00F94F46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  <w:vMerge w:val="restart"/>
          </w:tcPr>
          <w:p w14:paraId="3C382BC9" w14:textId="77777777" w:rsidR="00F94F46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 Format:</w:t>
            </w:r>
            <w:r>
              <w:rPr>
                <w:sz w:val="24"/>
                <w:szCs w:val="24"/>
              </w:rPr>
              <w:t xml:space="preserve"> </w:t>
            </w:r>
          </w:p>
          <w:p w14:paraId="51F48919" w14:textId="77777777" w:rsidR="00F94F46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asynchronous, independent</w:t>
            </w:r>
          </w:p>
          <w:p w14:paraId="2D3C5E13" w14:textId="77777777" w:rsidR="00F94F46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synchronous, live </w:t>
            </w:r>
          </w:p>
          <w:p w14:paraId="7FF1B825" w14:textId="77777777" w:rsidR="00F94F46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 with live component</w:t>
            </w:r>
          </w:p>
          <w:p w14:paraId="77325AF3" w14:textId="77777777" w:rsidR="00F94F46" w:rsidRDefault="00000000">
            <w:pPr>
              <w:widowControl w:val="0"/>
              <w:numPr>
                <w:ilvl w:val="0"/>
                <w:numId w:val="2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In-person, face-to-face live</w:t>
            </w:r>
          </w:p>
          <w:p w14:paraId="61D811B0" w14:textId="77777777" w:rsidR="00F94F46" w:rsidRDefault="00000000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Hybrid</w:t>
            </w:r>
          </w:p>
        </w:tc>
      </w:tr>
      <w:tr w:rsidR="00F94F46" w14:paraId="0B0DDBB9" w14:textId="77777777">
        <w:trPr>
          <w:trHeight w:val="922"/>
        </w:trPr>
        <w:tc>
          <w:tcPr>
            <w:tcW w:w="5385" w:type="dxa"/>
          </w:tcPr>
          <w:p w14:paraId="54B60810" w14:textId="77777777" w:rsidR="00F94F46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Hours:  47 </w:t>
            </w:r>
            <w:proofErr w:type="gramStart"/>
            <w:r>
              <w:rPr>
                <w:b/>
                <w:sz w:val="24"/>
                <w:szCs w:val="24"/>
              </w:rPr>
              <w:t>hours</w:t>
            </w:r>
            <w:proofErr w:type="gramEnd"/>
          </w:p>
          <w:p w14:paraId="66602EB1" w14:textId="77777777" w:rsidR="00F94F46" w:rsidRDefault="00F94F46">
            <w:pPr>
              <w:rPr>
                <w:b/>
                <w:sz w:val="24"/>
                <w:szCs w:val="24"/>
              </w:rPr>
            </w:pPr>
          </w:p>
        </w:tc>
        <w:tc>
          <w:tcPr>
            <w:tcW w:w="5385" w:type="dxa"/>
            <w:vMerge/>
          </w:tcPr>
          <w:p w14:paraId="12EC3730" w14:textId="77777777" w:rsidR="00F94F46" w:rsidRDefault="00F9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94F46" w14:paraId="70B9C1E8" w14:textId="77777777">
        <w:trPr>
          <w:trHeight w:val="4215"/>
        </w:trPr>
        <w:tc>
          <w:tcPr>
            <w:tcW w:w="10770" w:type="dxa"/>
            <w:gridSpan w:val="2"/>
          </w:tcPr>
          <w:p w14:paraId="2DB2ECEC" w14:textId="77777777" w:rsidR="00F94F46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Professional Development:</w:t>
            </w:r>
          </w:p>
          <w:p w14:paraId="4437F3B9" w14:textId="77777777" w:rsidR="00F94F46" w:rsidRDefault="00F94F46"/>
          <w:p w14:paraId="318DDFD1" w14:textId="77777777" w:rsidR="00F94F46" w:rsidRDefault="00000000">
            <w:pPr>
              <w:spacing w:after="120"/>
            </w:pPr>
            <w:r>
              <w:rPr>
                <w:b/>
              </w:rPr>
              <w:t>GENERAL:</w:t>
            </w:r>
          </w:p>
          <w:p w14:paraId="2AD02613" w14:textId="77777777" w:rsidR="00F94F46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NWEA Science of Reading Leadership course provides participants with fundamental knowledge in effective standards-aligned and research-based reading instruction and assessment practices for all learners to support their school and district plans in the Science of Reading.</w:t>
            </w:r>
          </w:p>
          <w:p w14:paraId="0E5175E1" w14:textId="77777777" w:rsidR="00F94F46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learning experience is designed to support you along a professional growth continuum as you enhance your knowledge and skills. As you progress through this </w:t>
            </w:r>
            <w:proofErr w:type="gramStart"/>
            <w:r>
              <w:rPr>
                <w:sz w:val="24"/>
                <w:szCs w:val="24"/>
              </w:rPr>
              <w:t>47 hour</w:t>
            </w:r>
            <w:proofErr w:type="gramEnd"/>
            <w:r>
              <w:rPr>
                <w:sz w:val="24"/>
                <w:szCs w:val="24"/>
              </w:rPr>
              <w:t xml:space="preserve"> course, you’ll competently build teacher capacity as you create structures and system conditions for teachers to deepen their evidence-based literacy practices, implement balanced assessment strategies, and provide effective differentiated support within an MTSS approach to early literacy. </w:t>
            </w:r>
          </w:p>
          <w:p w14:paraId="6623FD72" w14:textId="77777777" w:rsidR="00F94F46" w:rsidRDefault="00000000">
            <w:pPr>
              <w:spacing w:after="120"/>
              <w:rPr>
                <w:b/>
              </w:rPr>
            </w:pPr>
            <w:r>
              <w:rPr>
                <w:sz w:val="24"/>
                <w:szCs w:val="24"/>
              </w:rPr>
              <w:t xml:space="preserve">This course is ideal for education leaders with responsibility for K–3 literacy instruction. </w:t>
            </w:r>
          </w:p>
          <w:p w14:paraId="0DBEEDE9" w14:textId="77777777" w:rsidR="00F94F46" w:rsidRDefault="00F94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</w:tr>
    </w:tbl>
    <w:p w14:paraId="2150DF50" w14:textId="77777777" w:rsidR="00F94F46" w:rsidRDefault="00F94F46"/>
    <w:sectPr w:rsidR="00F94F4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3D40"/>
    <w:multiLevelType w:val="multilevel"/>
    <w:tmpl w:val="1940F25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1476CC"/>
    <w:multiLevelType w:val="multilevel"/>
    <w:tmpl w:val="6FDCEB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179153417">
    <w:abstractNumId w:val="0"/>
  </w:num>
  <w:num w:numId="2" w16cid:durableId="109236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46"/>
    <w:rsid w:val="000531F5"/>
    <w:rsid w:val="00592C2C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E425"/>
  <w15:docId w15:val="{ED30FA09-ABD2-45EC-ADC6-6E2BE6C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pdol.nwea.org/pl/sa/AK/AK_Literacy_LeadershipRegistration_Flyer_FY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hena.hill@nwe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GYF2dPYCkiwh49JhNCzBm3Ouw==">CgMxLjA4AHIhMWIxWGFsUXJ1djVycUN1YUUzcHpoeWppTjRsei1USmty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Matt M (EED)</dc:creator>
  <cp:lastModifiedBy>Johnson, Matt M (EED)</cp:lastModifiedBy>
  <cp:revision>2</cp:revision>
  <dcterms:created xsi:type="dcterms:W3CDTF">2024-03-08T23:33:00Z</dcterms:created>
  <dcterms:modified xsi:type="dcterms:W3CDTF">2024-03-08T23:33:00Z</dcterms:modified>
</cp:coreProperties>
</file>