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88A7" w14:textId="77777777" w:rsidR="00C311DA" w:rsidRPr="00455E8D" w:rsidRDefault="00C311DA" w:rsidP="00455E8D">
      <w:pPr>
        <w:pStyle w:val="Title"/>
      </w:pPr>
      <w:r w:rsidRPr="00455E8D">
        <w:t>Revised State Template for the</w:t>
      </w:r>
    </w:p>
    <w:p w14:paraId="45702CDC" w14:textId="77777777" w:rsidR="00C311DA" w:rsidRPr="00455E8D" w:rsidRDefault="00C311DA" w:rsidP="00455E8D">
      <w:pPr>
        <w:pStyle w:val="Title"/>
      </w:pPr>
      <w:r w:rsidRPr="00455E8D">
        <w:t>Consolidated State Plan</w:t>
      </w:r>
    </w:p>
    <w:p w14:paraId="7B75D01E" w14:textId="77777777" w:rsidR="00C311DA" w:rsidRPr="00455E8D" w:rsidRDefault="00C311DA" w:rsidP="00455E8D">
      <w:pPr>
        <w:pStyle w:val="Subtitle"/>
      </w:pPr>
      <w:r w:rsidRPr="00455E8D">
        <w:t>The Elementary and Secondary Education Act of 1965, as amended by the Every Student Succeeds Act</w:t>
      </w:r>
    </w:p>
    <w:p w14:paraId="71BE0F79" w14:textId="77777777" w:rsidR="00C311DA" w:rsidRPr="00956ACF" w:rsidRDefault="00C311DA" w:rsidP="000B4279">
      <w:pPr>
        <w:spacing w:line="240" w:lineRule="auto"/>
        <w:jc w:val="center"/>
        <w:rPr>
          <w:rFonts w:ascii="Times New Roman" w:hAnsi="Times New Roman"/>
          <w:b/>
        </w:rPr>
      </w:pPr>
      <w:r w:rsidRPr="00956ACF">
        <w:rPr>
          <w:rFonts w:ascii="Times New Roman" w:hAnsi="Times New Roman"/>
          <w:noProof/>
        </w:rPr>
        <w:drawing>
          <wp:inline distT="0" distB="0" distL="0" distR="0" wp14:anchorId="0C9E1FAC" wp14:editId="527905A0">
            <wp:extent cx="1463040" cy="1463040"/>
            <wp:effectExtent l="0" t="0" r="3810" b="3810"/>
            <wp:docPr id="8" name="Picture 8" descr="Department of Education, United State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r>
        <w:rPr>
          <w:rFonts w:ascii="Times New Roman" w:hAnsi="Times New Roman"/>
          <w:b/>
        </w:rPr>
        <w:br w:type="textWrapping" w:clear="all"/>
      </w:r>
    </w:p>
    <w:p w14:paraId="23648979" w14:textId="77777777" w:rsidR="00C311DA" w:rsidRDefault="00C311DA" w:rsidP="00F60809">
      <w:pPr>
        <w:spacing w:before="1080" w:after="0" w:line="72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14:paraId="32510C17" w14:textId="0A2EAEBE" w:rsidR="00EE1C5F" w:rsidRDefault="00EE1C5F" w:rsidP="008A4234">
      <w:pPr>
        <w:spacing w:after="0" w:line="240" w:lineRule="auto"/>
        <w:jc w:val="center"/>
        <w:rPr>
          <w:rFonts w:ascii="Times New Roman" w:hAnsi="Times New Roman"/>
          <w:b/>
        </w:rPr>
      </w:pPr>
      <w:r>
        <w:rPr>
          <w:rFonts w:ascii="Times New Roman" w:hAnsi="Times New Roman"/>
          <w:b/>
        </w:rPr>
        <w:t>ALASKA</w:t>
      </w:r>
    </w:p>
    <w:p w14:paraId="6A49A2F2" w14:textId="77777777" w:rsidR="00EE1C5F" w:rsidRDefault="00EE1C5F" w:rsidP="00EE1C5F">
      <w:pPr>
        <w:spacing w:after="0" w:line="240" w:lineRule="auto"/>
        <w:jc w:val="center"/>
        <w:rPr>
          <w:rFonts w:ascii="Times New Roman" w:hAnsi="Times New Roman"/>
          <w:b/>
        </w:rPr>
      </w:pPr>
    </w:p>
    <w:p w14:paraId="7AE391C8" w14:textId="3BF260B4" w:rsidR="00EE1C5F" w:rsidRPr="00BC5E00" w:rsidRDefault="006655BC" w:rsidP="00EE1C5F">
      <w:pPr>
        <w:spacing w:after="0" w:line="240" w:lineRule="auto"/>
        <w:jc w:val="center"/>
        <w:rPr>
          <w:rFonts w:ascii="Times New Roman" w:hAnsi="Times New Roman"/>
          <w:b/>
          <w:color w:val="FF0000"/>
        </w:rPr>
      </w:pPr>
      <w:r>
        <w:rPr>
          <w:rFonts w:ascii="Times New Roman" w:hAnsi="Times New Roman"/>
          <w:b/>
          <w:color w:val="FF0000"/>
        </w:rPr>
        <w:t>FINAL</w:t>
      </w:r>
      <w:r w:rsidRPr="00BC5E00">
        <w:rPr>
          <w:rFonts w:ascii="Times New Roman" w:hAnsi="Times New Roman"/>
          <w:b/>
          <w:color w:val="FF0000"/>
        </w:rPr>
        <w:t xml:space="preserve"> </w:t>
      </w:r>
      <w:r w:rsidR="00473B27" w:rsidRPr="00BC5E00">
        <w:rPr>
          <w:rFonts w:ascii="Times New Roman" w:hAnsi="Times New Roman"/>
          <w:b/>
          <w:color w:val="FF0000"/>
        </w:rPr>
        <w:t>SUBMISSION</w:t>
      </w:r>
    </w:p>
    <w:p w14:paraId="36330DB0" w14:textId="3C13D920" w:rsidR="00473B27" w:rsidRDefault="005F0F93" w:rsidP="00F60809">
      <w:pPr>
        <w:spacing w:after="0" w:line="720" w:lineRule="auto"/>
        <w:jc w:val="center"/>
        <w:rPr>
          <w:rFonts w:ascii="Times New Roman" w:hAnsi="Times New Roman"/>
          <w:b/>
        </w:rPr>
      </w:pPr>
      <w:r>
        <w:rPr>
          <w:rFonts w:ascii="Times New Roman" w:hAnsi="Times New Roman"/>
          <w:b/>
          <w:color w:val="FF0000"/>
        </w:rPr>
        <w:t>5/8</w:t>
      </w:r>
      <w:r w:rsidR="00FF5817">
        <w:rPr>
          <w:rFonts w:ascii="Times New Roman" w:hAnsi="Times New Roman"/>
          <w:b/>
          <w:color w:val="FF0000"/>
        </w:rPr>
        <w:t>/2018</w:t>
      </w:r>
    </w:p>
    <w:p w14:paraId="643CB7A8" w14:textId="7FA7D5CD" w:rsidR="00C311DA" w:rsidRPr="00917CE3" w:rsidRDefault="00C311DA" w:rsidP="00F60809">
      <w:pPr>
        <w:tabs>
          <w:tab w:val="center" w:pos="4680"/>
          <w:tab w:val="left" w:pos="7050"/>
        </w:tabs>
        <w:spacing w:after="0" w:line="720" w:lineRule="auto"/>
        <w:jc w:val="center"/>
        <w:rPr>
          <w:rFonts w:ascii="Times New Roman" w:hAnsi="Times New Roman"/>
        </w:rPr>
      </w:pPr>
      <w:r w:rsidRPr="00917CE3">
        <w:rPr>
          <w:rFonts w:ascii="Times New Roman" w:hAnsi="Times New Roman"/>
        </w:rPr>
        <w:t xml:space="preserve">OMB Number: </w:t>
      </w:r>
      <w:r w:rsidRPr="002924A4">
        <w:rPr>
          <w:rFonts w:ascii="Times New Roman" w:hAnsi="Times New Roman"/>
        </w:rPr>
        <w:t>1810-0576</w:t>
      </w:r>
    </w:p>
    <w:p w14:paraId="0A8C4795" w14:textId="020840B5" w:rsidR="00473B27" w:rsidRDefault="00C311DA" w:rsidP="00473B27">
      <w:pPr>
        <w:spacing w:after="0" w:line="240" w:lineRule="auto"/>
        <w:jc w:val="center"/>
        <w:rPr>
          <w:rFonts w:ascii="Times New Roman" w:hAnsi="Times New Roman"/>
        </w:rPr>
      </w:pPr>
      <w:r w:rsidRPr="002C5032">
        <w:rPr>
          <w:rFonts w:ascii="Times New Roman" w:hAnsi="Times New Roman"/>
        </w:rPr>
        <w:t xml:space="preserve">Expiration Date: </w:t>
      </w:r>
      <w:r w:rsidRPr="002924A4">
        <w:rPr>
          <w:rFonts w:ascii="Times New Roman" w:hAnsi="Times New Roman"/>
        </w:rPr>
        <w:t>September 30, 2017</w:t>
      </w:r>
    </w:p>
    <w:p w14:paraId="11A70825" w14:textId="77777777" w:rsidR="00473B27" w:rsidRDefault="00473B27" w:rsidP="00473B27">
      <w:pPr>
        <w:spacing w:after="0" w:line="240" w:lineRule="auto"/>
        <w:jc w:val="center"/>
        <w:rPr>
          <w:rFonts w:ascii="Times New Roman" w:hAnsi="Times New Roman"/>
        </w:rPr>
      </w:pPr>
    </w:p>
    <w:p w14:paraId="6E6BCE0A" w14:textId="77777777" w:rsidR="00473B27" w:rsidRDefault="00473B27" w:rsidP="00473B27">
      <w:pPr>
        <w:spacing w:after="0" w:line="240" w:lineRule="auto"/>
        <w:jc w:val="center"/>
        <w:rPr>
          <w:rFonts w:ascii="Times New Roman" w:hAnsi="Times New Roman"/>
          <w:b/>
        </w:rPr>
        <w:sectPr w:rsidR="00473B27" w:rsidSect="00473B27">
          <w:footerReference w:type="default" r:id="rId9"/>
          <w:footerReference w:type="first" r:id="rId10"/>
          <w:pgSz w:w="12240" w:h="15840"/>
          <w:pgMar w:top="1440" w:right="1440" w:bottom="1440" w:left="1440" w:header="720" w:footer="720" w:gutter="0"/>
          <w:pgNumType w:fmt="lowerRoman" w:start="1"/>
          <w:cols w:space="720"/>
          <w:titlePg/>
          <w:docGrid w:linePitch="360"/>
        </w:sectPr>
      </w:pPr>
    </w:p>
    <w:p w14:paraId="323239ED" w14:textId="5FB7001D" w:rsidR="00C311DA" w:rsidRPr="002C5032" w:rsidRDefault="00C311DA" w:rsidP="00C311DA">
      <w:pPr>
        <w:spacing w:after="0" w:line="240" w:lineRule="auto"/>
        <w:rPr>
          <w:rFonts w:ascii="Times New Roman" w:hAnsi="Times New Roman"/>
          <w:b/>
        </w:rPr>
      </w:pPr>
    </w:p>
    <w:p w14:paraId="4BE5140F" w14:textId="77777777" w:rsidR="00C311DA" w:rsidRPr="00E672BC" w:rsidRDefault="00C311DA" w:rsidP="00455E8D">
      <w:pPr>
        <w:rPr>
          <w:rStyle w:val="Strong"/>
        </w:rPr>
      </w:pPr>
      <w:r w:rsidRPr="00E672BC">
        <w:rPr>
          <w:rStyle w:val="Strong"/>
        </w:rPr>
        <w:t>Introduction</w:t>
      </w:r>
    </w:p>
    <w:p w14:paraId="2E3F70EC" w14:textId="4118BF4B" w:rsidR="00C311DA" w:rsidRDefault="00C311DA" w:rsidP="00C311DA">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Pr>
          <w:rFonts w:ascii="Times New Roman" w:hAnsi="Times New Roman"/>
        </w:rPr>
        <w:t>,</w:t>
      </w:r>
      <w:r w:rsidRPr="00956ACF">
        <w:rPr>
          <w:rStyle w:val="FootnoteReference"/>
          <w:rFonts w:ascii="Times New Roman" w:hAnsi="Times New Roman"/>
        </w:rPr>
        <w:footnoteReference w:id="1"/>
      </w:r>
      <w:r w:rsidRPr="006403D5">
        <w:rPr>
          <w:rFonts w:ascii="Times New Roman" w:eastAsia="Times New Roman" w:hAnsi="Times New Roman"/>
        </w:rPr>
        <w:t xml:space="preserve"> </w:t>
      </w:r>
      <w:r>
        <w:rPr>
          <w:rFonts w:ascii="Times New Roman" w:hAnsi="Times New Roman"/>
        </w:rPr>
        <w:t>requires</w:t>
      </w:r>
      <w:r w:rsidRPr="00956ACF">
        <w:rPr>
          <w:rFonts w:ascii="Times New Roman" w:hAnsi="Times New Roman"/>
        </w:rPr>
        <w:t xml:space="preserve"> the Secretary to establish procedures and criteria under which, after consultation with the Governor, a State educational agency (SEA) may submit a consolidated State plan designed to simplify the application requirements and reduce burden for SEAs.  </w:t>
      </w:r>
      <w:r>
        <w:rPr>
          <w:rFonts w:ascii="Times New Roman" w:hAnsi="Times New Roman"/>
        </w:rPr>
        <w:t>ESEA section 8302 also requires t</w:t>
      </w:r>
      <w:r w:rsidRPr="00956ACF">
        <w:rPr>
          <w:rFonts w:ascii="Times New Roman" w:hAnsi="Times New Roman"/>
        </w:rPr>
        <w:t xml:space="preserve">he Secretary </w:t>
      </w:r>
      <w:r>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Pr="00C729B6">
        <w:rPr>
          <w:rFonts w:ascii="Times New Roman" w:hAnsi="Times New Roman"/>
        </w:rPr>
        <w:t xml:space="preserve"> </w:t>
      </w:r>
      <w:r>
        <w:rPr>
          <w:rFonts w:ascii="Times New Roman" w:hAnsi="Times New Roman"/>
        </w:rPr>
        <w:t>Even though an SEA submits only the required information in its consolidated State plan,</w:t>
      </w:r>
      <w:r w:rsidRPr="0082258F">
        <w:rPr>
          <w:rFonts w:ascii="Times New Roman" w:hAnsi="Times New Roman"/>
        </w:rPr>
        <w:t xml:space="preserve"> </w:t>
      </w:r>
      <w:r>
        <w:rPr>
          <w:rFonts w:ascii="Times New Roman" w:hAnsi="Times New Roman"/>
        </w:rPr>
        <w:t xml:space="preserve">an SEA must still meet all ESEA requirements for each included </w:t>
      </w:r>
      <w:r w:rsidRPr="0082258F">
        <w:rPr>
          <w:rFonts w:ascii="Times New Roman" w:hAnsi="Times New Roman"/>
        </w:rPr>
        <w:t>program</w:t>
      </w:r>
      <w:r>
        <w:rPr>
          <w:rFonts w:ascii="Times New Roman" w:hAnsi="Times New Roman"/>
        </w:rPr>
        <w:t xml:space="preserve">.  In </w:t>
      </w:r>
      <w:r w:rsidRPr="00956ACF">
        <w:rPr>
          <w:rFonts w:ascii="Times New Roman" w:hAnsi="Times New Roman"/>
        </w:rPr>
        <w:t xml:space="preserve">its consolidated State plan, </w:t>
      </w:r>
      <w:r>
        <w:rPr>
          <w:rFonts w:ascii="Times New Roman" w:hAnsi="Times New Roman"/>
        </w:rPr>
        <w:t>each SEA may, but is not required to, include supplemental information such as its</w:t>
      </w:r>
      <w:r w:rsidRPr="00956ACF">
        <w:rPr>
          <w:rFonts w:ascii="Times New Roman" w:hAnsi="Times New Roman"/>
        </w:rPr>
        <w:t xml:space="preserve"> overall vision </w:t>
      </w:r>
      <w:r>
        <w:rPr>
          <w:rFonts w:ascii="Times New Roman" w:hAnsi="Times New Roman"/>
        </w:rPr>
        <w:t>for improving outcomes for all students and its efforts to consult with and engage stakeholders when developing its consolidated State plan.</w:t>
      </w:r>
    </w:p>
    <w:p w14:paraId="6D6F81E0" w14:textId="77777777" w:rsidR="002C7764" w:rsidRDefault="002C7764" w:rsidP="00C311DA">
      <w:pPr>
        <w:spacing w:after="0" w:line="240" w:lineRule="auto"/>
        <w:rPr>
          <w:rFonts w:ascii="Times New Roman" w:hAnsi="Times New Roman"/>
        </w:rPr>
      </w:pPr>
    </w:p>
    <w:p w14:paraId="52DBCFAC" w14:textId="77777777" w:rsidR="00C311DA" w:rsidRPr="002C7764" w:rsidRDefault="00C311DA" w:rsidP="002C7764">
      <w:pPr>
        <w:rPr>
          <w:rStyle w:val="Strong"/>
        </w:rPr>
      </w:pPr>
      <w:r w:rsidRPr="002C7764">
        <w:rPr>
          <w:rStyle w:val="Strong"/>
        </w:rPr>
        <w:t>Completing and Submitting a Consolidated State Plan</w:t>
      </w:r>
    </w:p>
    <w:p w14:paraId="7A63F32B" w14:textId="0DF6793C" w:rsidR="00C311DA" w:rsidRDefault="00C311DA" w:rsidP="00C311DA">
      <w:pPr>
        <w:spacing w:after="0" w:line="240" w:lineRule="auto"/>
        <w:rPr>
          <w:rFonts w:ascii="Times New Roman" w:hAnsi="Times New Roman"/>
        </w:rPr>
      </w:pPr>
      <w:r w:rsidRPr="00956ACF">
        <w:rPr>
          <w:rFonts w:ascii="Times New Roman" w:hAnsi="Times New Roman"/>
        </w:rPr>
        <w:t xml:space="preserve">Each SEA must address all </w:t>
      </w:r>
      <w:r>
        <w:rPr>
          <w:rFonts w:ascii="Times New Roman" w:hAnsi="Times New Roman"/>
        </w:rPr>
        <w:t>of the requirements identified below for the programs that it chooses to include in its consolidated State plan</w:t>
      </w:r>
      <w:r w:rsidRPr="00956ACF">
        <w:rPr>
          <w:rFonts w:ascii="Times New Roman" w:hAnsi="Times New Roman"/>
        </w:rPr>
        <w:t xml:space="preserve">.  </w:t>
      </w:r>
      <w:r>
        <w:rPr>
          <w:rFonts w:ascii="Times New Roman" w:hAnsi="Times New Roman"/>
        </w:rPr>
        <w:t xml:space="preserve">An SEA must use this template or a </w:t>
      </w:r>
      <w:r w:rsidRPr="00966FB3">
        <w:rPr>
          <w:rFonts w:ascii="Times New Roman" w:hAnsi="Times New Roman"/>
        </w:rPr>
        <w:t>format that includes the required elements and that the State has developed working with the Council of Chief State School Officers</w:t>
      </w:r>
      <w:r>
        <w:rPr>
          <w:rFonts w:ascii="Times New Roman" w:hAnsi="Times New Roman"/>
        </w:rPr>
        <w:t xml:space="preserve"> (CCSSO)</w:t>
      </w:r>
      <w:r w:rsidRPr="00C14806">
        <w:rPr>
          <w:rFonts w:ascii="Times New Roman" w:hAnsi="Times New Roman"/>
        </w:rPr>
        <w:t>.</w:t>
      </w:r>
    </w:p>
    <w:p w14:paraId="43959E7B" w14:textId="77777777" w:rsidR="00F60809" w:rsidRDefault="00F60809" w:rsidP="00C311DA">
      <w:pPr>
        <w:spacing w:after="0" w:line="240" w:lineRule="auto"/>
        <w:rPr>
          <w:rFonts w:ascii="Times New Roman" w:hAnsi="Times New Roman"/>
        </w:rPr>
      </w:pPr>
    </w:p>
    <w:p w14:paraId="6774A8C9" w14:textId="77777777" w:rsidR="00C311DA" w:rsidRPr="00956ACF" w:rsidRDefault="00C311DA" w:rsidP="00C311DA">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Pr>
          <w:rFonts w:ascii="Times New Roman" w:hAnsi="Times New Roman"/>
        </w:rPr>
        <w:t>U.S. Department of Education (</w:t>
      </w:r>
      <w:r w:rsidRPr="00956ACF">
        <w:rPr>
          <w:rFonts w:ascii="Times New Roman" w:hAnsi="Times New Roman"/>
        </w:rPr>
        <w:t>Department</w:t>
      </w:r>
      <w:r>
        <w:rPr>
          <w:rFonts w:ascii="Times New Roman" w:hAnsi="Times New Roman"/>
        </w:rPr>
        <w:t>)</w:t>
      </w:r>
      <w:r w:rsidRPr="00956ACF">
        <w:rPr>
          <w:rFonts w:ascii="Times New Roman" w:hAnsi="Times New Roman"/>
        </w:rPr>
        <w:t xml:space="preserve"> its consolidated State plan by one of the following two deadlines of the SEA’s choice:</w:t>
      </w:r>
    </w:p>
    <w:p w14:paraId="017C2414" w14:textId="77777777" w:rsidR="00C311DA" w:rsidRPr="00956ACF" w:rsidRDefault="00C311DA" w:rsidP="006641B6">
      <w:pPr>
        <w:numPr>
          <w:ilvl w:val="0"/>
          <w:numId w:val="6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14:paraId="1280CCD0" w14:textId="549043B3" w:rsidR="00C311DA" w:rsidRPr="00DB530C" w:rsidRDefault="00C311DA" w:rsidP="006641B6">
      <w:pPr>
        <w:numPr>
          <w:ilvl w:val="0"/>
          <w:numId w:val="6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p>
    <w:p w14:paraId="723E0E38" w14:textId="77777777" w:rsidR="00C311DA" w:rsidRPr="00956ACF" w:rsidRDefault="00C311DA" w:rsidP="00C311DA">
      <w:pPr>
        <w:widowControl w:val="0"/>
        <w:spacing w:after="0" w:line="240" w:lineRule="auto"/>
        <w:rPr>
          <w:rFonts w:ascii="Times New Roman" w:hAnsi="Times New Roman"/>
        </w:rPr>
      </w:pPr>
    </w:p>
    <w:p w14:paraId="51B46AB3" w14:textId="3C7AE49E" w:rsidR="00C311DA" w:rsidRDefault="00C311DA" w:rsidP="00C311DA">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 In order to ensure transparency consistent with ESEA section 1111(a</w:t>
      </w:r>
      <w:proofErr w:type="gramStart"/>
      <w:r>
        <w:rPr>
          <w:rFonts w:ascii="Times New Roman" w:hAnsi="Times New Roman"/>
        </w:rPr>
        <w:t>)(</w:t>
      </w:r>
      <w:proofErr w:type="gramEnd"/>
      <w:r>
        <w:rPr>
          <w:rFonts w:ascii="Times New Roman" w:hAnsi="Times New Roman"/>
        </w:rPr>
        <w:t xml:space="preserve">5), the Department intends to post each State plan on the Department’s website. </w:t>
      </w:r>
    </w:p>
    <w:p w14:paraId="51A15D09" w14:textId="77777777" w:rsidR="002C7764" w:rsidRDefault="002C7764" w:rsidP="00C311DA">
      <w:pPr>
        <w:spacing w:after="0" w:line="240" w:lineRule="auto"/>
        <w:rPr>
          <w:rFonts w:ascii="Times New Roman" w:hAnsi="Times New Roman"/>
        </w:rPr>
      </w:pPr>
    </w:p>
    <w:p w14:paraId="116E29ED" w14:textId="77777777" w:rsidR="00C311DA" w:rsidRPr="002C7764" w:rsidRDefault="00C311DA" w:rsidP="002C7764">
      <w:pPr>
        <w:rPr>
          <w:rStyle w:val="Strong"/>
        </w:rPr>
      </w:pPr>
      <w:r w:rsidRPr="002C7764">
        <w:rPr>
          <w:rStyle w:val="Strong"/>
        </w:rPr>
        <w:t>Alternative Template</w:t>
      </w:r>
    </w:p>
    <w:p w14:paraId="4A4B14DB" w14:textId="77777777" w:rsidR="00C311DA" w:rsidRDefault="00C311DA" w:rsidP="00C311DA">
      <w:pPr>
        <w:spacing w:after="0" w:line="240" w:lineRule="auto"/>
        <w:rPr>
          <w:rFonts w:ascii="Times New Roman" w:hAnsi="Times New Roman"/>
        </w:rPr>
      </w:pPr>
      <w:r>
        <w:rPr>
          <w:rFonts w:ascii="Times New Roman" w:hAnsi="Times New Roman"/>
        </w:rPr>
        <w:t xml:space="preserve">If an SEA does not use this template, </w:t>
      </w:r>
      <w:r w:rsidRPr="002E0D72">
        <w:rPr>
          <w:rFonts w:ascii="Times New Roman" w:hAnsi="Times New Roman" w:cs="Times New Roman"/>
        </w:rPr>
        <w:t>it</w:t>
      </w:r>
      <w:r>
        <w:rPr>
          <w:rFonts w:ascii="Times New Roman" w:hAnsi="Times New Roman"/>
        </w:rPr>
        <w:t xml:space="preserve"> must:</w:t>
      </w:r>
    </w:p>
    <w:p w14:paraId="3D6BF265" w14:textId="77777777" w:rsidR="00C311DA" w:rsidRDefault="00C311DA" w:rsidP="006641B6">
      <w:pPr>
        <w:pStyle w:val="ListParagraph"/>
        <w:numPr>
          <w:ilvl w:val="0"/>
          <w:numId w:val="65"/>
        </w:numPr>
        <w:spacing w:after="0" w:line="240" w:lineRule="auto"/>
        <w:rPr>
          <w:rFonts w:ascii="Times New Roman" w:hAnsi="Times New Roman"/>
        </w:rPr>
      </w:pPr>
      <w:r>
        <w:rPr>
          <w:rFonts w:ascii="Times New Roman" w:hAnsi="Times New Roman"/>
        </w:rPr>
        <w:t>Include the information on the Cover Sheet;</w:t>
      </w:r>
    </w:p>
    <w:p w14:paraId="713EE88D" w14:textId="77777777" w:rsidR="00C311DA" w:rsidRPr="00306DA7" w:rsidRDefault="00C311DA" w:rsidP="006641B6">
      <w:pPr>
        <w:pStyle w:val="ListParagraph"/>
        <w:numPr>
          <w:ilvl w:val="0"/>
          <w:numId w:val="65"/>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Pr>
          <w:rFonts w:ascii="Times New Roman" w:hAnsi="Times New Roman"/>
        </w:rPr>
        <w:t xml:space="preserve"> clearly </w:t>
      </w:r>
      <w:r w:rsidRPr="00306DA7">
        <w:rPr>
          <w:rFonts w:ascii="Times New Roman" w:hAnsi="Times New Roman"/>
        </w:rPr>
        <w:t>indicates</w:t>
      </w:r>
      <w:r>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Pr>
          <w:rFonts w:ascii="Times New Roman" w:hAnsi="Times New Roman"/>
        </w:rPr>
        <w:t xml:space="preserve"> </w:t>
      </w:r>
      <w:r w:rsidRPr="002E0D72">
        <w:rPr>
          <w:rFonts w:ascii="Times New Roman" w:hAnsi="Times New Roman"/>
        </w:rPr>
        <w:t>has addressed</w:t>
      </w:r>
      <w:r>
        <w:rPr>
          <w:rFonts w:ascii="Times New Roman" w:hAnsi="Times New Roman"/>
        </w:rPr>
        <w:t xml:space="preserve"> each requirement in its consolidated State plan</w:t>
      </w:r>
      <w:r w:rsidRPr="00306DA7">
        <w:rPr>
          <w:rFonts w:ascii="Times New Roman" w:hAnsi="Times New Roman"/>
        </w:rPr>
        <w:t>;</w:t>
      </w:r>
    </w:p>
    <w:p w14:paraId="156C5D97" w14:textId="77777777" w:rsidR="00C311DA" w:rsidRDefault="00C311DA" w:rsidP="006641B6">
      <w:pPr>
        <w:pStyle w:val="ListParagraph"/>
        <w:numPr>
          <w:ilvl w:val="0"/>
          <w:numId w:val="65"/>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Pr>
          <w:rFonts w:ascii="Times New Roman" w:hAnsi="Times New Roman"/>
        </w:rPr>
        <w:t>; and</w:t>
      </w:r>
    </w:p>
    <w:p w14:paraId="794F20C6" w14:textId="25ECFBD1" w:rsidR="00C311DA" w:rsidRPr="002C7764" w:rsidRDefault="00C311DA" w:rsidP="006641B6">
      <w:pPr>
        <w:pStyle w:val="ListParagraph"/>
        <w:numPr>
          <w:ilvl w:val="0"/>
          <w:numId w:val="65"/>
        </w:numPr>
        <w:spacing w:after="0" w:line="240" w:lineRule="auto"/>
        <w:rPr>
          <w:rFonts w:ascii="Times New Roman" w:hAnsi="Times New Roman"/>
        </w:rPr>
      </w:pPr>
      <w:r>
        <w:rPr>
          <w:rFonts w:ascii="Times New Roman" w:hAnsi="Times New Roman" w:cs="Times New Roman"/>
        </w:rPr>
        <w:t>I</w:t>
      </w:r>
      <w:r w:rsidRPr="00412E58">
        <w:rPr>
          <w:rFonts w:ascii="Times New Roman" w:hAnsi="Times New Roman" w:cs="Times New Roman"/>
        </w:rPr>
        <w:t>nclude</w:t>
      </w:r>
      <w:r w:rsidRPr="00CC7E8E">
        <w:rPr>
          <w:rFonts w:ascii="Times New Roman" w:hAnsi="Times New Roman"/>
        </w:rPr>
        <w:t xml:space="preserve"> </w:t>
      </w:r>
      <w:r>
        <w:rPr>
          <w:rFonts w:ascii="Times New Roman" w:hAnsi="Times New Roman" w:cs="Times New Roman"/>
        </w:rPr>
        <w:t>the required information regarding</w:t>
      </w:r>
      <w:r w:rsidRPr="002E0D72">
        <w:rPr>
          <w:rFonts w:ascii="Times New Roman" w:hAnsi="Times New Roman" w:cs="Times New Roman"/>
        </w:rPr>
        <w:t xml:space="preserve"> equitable access to, and participation in, </w:t>
      </w:r>
      <w:r>
        <w:rPr>
          <w:rFonts w:ascii="Times New Roman" w:hAnsi="Times New Roman"/>
        </w:rPr>
        <w:t>the programs included in its consolidated State plan</w:t>
      </w:r>
      <w:r w:rsidRPr="002E0D72">
        <w:rPr>
          <w:rFonts w:ascii="Times New Roman" w:hAnsi="Times New Roman" w:cs="Times New Roman"/>
        </w:rPr>
        <w:t xml:space="preserve"> as required by section 427 of the General Education Provisions Act</w:t>
      </w:r>
      <w:r w:rsidRPr="002E0D72">
        <w:rPr>
          <w:rFonts w:ascii="Times New Roman" w:hAnsi="Times New Roman"/>
        </w:rPr>
        <w:t>.</w:t>
      </w:r>
      <w:r w:rsidR="002C7764">
        <w:rPr>
          <w:rFonts w:ascii="Times New Roman" w:hAnsi="Times New Roman" w:cs="Times New Roman"/>
        </w:rPr>
        <w:t xml:space="preserve"> See Appendix B.</w:t>
      </w:r>
    </w:p>
    <w:p w14:paraId="0F855A9F" w14:textId="77777777" w:rsidR="002C7764" w:rsidRDefault="002C7764" w:rsidP="002C7764">
      <w:pPr>
        <w:pStyle w:val="ListParagraph"/>
        <w:spacing w:after="0" w:line="240" w:lineRule="auto"/>
        <w:rPr>
          <w:rFonts w:ascii="Times New Roman" w:hAnsi="Times New Roman"/>
        </w:rPr>
      </w:pPr>
    </w:p>
    <w:p w14:paraId="6BA95199" w14:textId="77777777" w:rsidR="00C311DA" w:rsidRPr="002C7764" w:rsidRDefault="00C311DA" w:rsidP="002C7764">
      <w:pPr>
        <w:rPr>
          <w:rStyle w:val="Strong"/>
        </w:rPr>
      </w:pPr>
      <w:r w:rsidRPr="002C7764">
        <w:rPr>
          <w:rStyle w:val="Strong"/>
        </w:rPr>
        <w:t>Individual Program State Plan</w:t>
      </w:r>
    </w:p>
    <w:p w14:paraId="59AC5C95" w14:textId="565E18D0" w:rsidR="00C311DA" w:rsidRPr="006403D5" w:rsidRDefault="00C311DA" w:rsidP="00C311DA">
      <w:pPr>
        <w:spacing w:after="0" w:line="240" w:lineRule="auto"/>
        <w:rPr>
          <w:rFonts w:ascii="Times New Roman" w:hAnsi="Times New Roman"/>
        </w:rPr>
      </w:pPr>
      <w:r>
        <w:rPr>
          <w:rFonts w:ascii="Times New Roman" w:hAnsi="Times New Roman"/>
        </w:rPr>
        <w:t>An SEA may submit an individual program State plan that meets all applicable statutory and regulatory requirements for any program that it chooses not to include in a consolidated State plan.  If an SEA intends to submit an individual program plan for any program, the SEA must submit the individual program plan by one of the dates above, in concert with its consolidated State plan, if applicable.</w:t>
      </w:r>
    </w:p>
    <w:p w14:paraId="44689FAA" w14:textId="77777777" w:rsidR="00C311DA" w:rsidRPr="002C7764" w:rsidRDefault="00C311DA" w:rsidP="002C7764">
      <w:pPr>
        <w:rPr>
          <w:rStyle w:val="Strong"/>
        </w:rPr>
      </w:pPr>
      <w:r w:rsidRPr="002C7764">
        <w:rPr>
          <w:rStyle w:val="Strong"/>
        </w:rPr>
        <w:t>Consultation</w:t>
      </w:r>
    </w:p>
    <w:p w14:paraId="7CC206EF" w14:textId="77777777" w:rsidR="00C311DA" w:rsidRPr="00D21340" w:rsidRDefault="00C311DA" w:rsidP="00C311DA">
      <w:pPr>
        <w:pStyle w:val="ListParagraph"/>
        <w:spacing w:line="240" w:lineRule="auto"/>
        <w:ind w:left="0"/>
        <w:rPr>
          <w:rFonts w:ascii="Times New Roman" w:hAnsi="Times New Roman"/>
        </w:rPr>
      </w:pPr>
      <w:r w:rsidRPr="00D21340">
        <w:rPr>
          <w:rFonts w:ascii="Times New Roman" w:hAnsi="Times New Roman"/>
        </w:rPr>
        <w:lastRenderedPageBreak/>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Pr>
          <w:rFonts w:ascii="Times New Roman" w:hAnsi="Times New Roman"/>
        </w:rPr>
        <w:t xml:space="preserve">A Governor shall have 30 days prior to the SEA submitting </w:t>
      </w:r>
      <w:r w:rsidRPr="00D21340">
        <w:rPr>
          <w:rFonts w:ascii="Times New Roman" w:hAnsi="Times New Roman"/>
        </w:rPr>
        <w:t>the consolidated State plan</w:t>
      </w:r>
      <w:r>
        <w:rPr>
          <w:rFonts w:ascii="Times New Roman" w:hAnsi="Times New Roman"/>
        </w:rPr>
        <w:t xml:space="preserve"> </w:t>
      </w:r>
      <w:r w:rsidRPr="00D21340">
        <w:rPr>
          <w:rFonts w:ascii="Times New Roman" w:hAnsi="Times New Roman"/>
        </w:rPr>
        <w:t>to the Secretary</w:t>
      </w:r>
      <w:r>
        <w:rPr>
          <w:rFonts w:ascii="Times New Roman" w:hAnsi="Times New Roman"/>
        </w:rPr>
        <w:t xml:space="preserve"> to sign the consolidated State plan</w:t>
      </w:r>
      <w:r w:rsidRPr="00D21340">
        <w:rPr>
          <w:rFonts w:ascii="Times New Roman" w:hAnsi="Times New Roman"/>
        </w:rPr>
        <w:t xml:space="preserve">.  </w:t>
      </w:r>
      <w:r>
        <w:rPr>
          <w:rFonts w:ascii="Times New Roman" w:hAnsi="Times New Roman"/>
        </w:rPr>
        <w:t>If the Governor has not signed the plan within 30 days of delivery by the SEA, the SEA shall submit the plan to the Department without such signature.</w:t>
      </w:r>
    </w:p>
    <w:p w14:paraId="3A90F849" w14:textId="77777777" w:rsidR="00C311DA" w:rsidRPr="002C7764" w:rsidRDefault="00C311DA" w:rsidP="00E672BC">
      <w:pPr>
        <w:rPr>
          <w:rStyle w:val="Strong"/>
        </w:rPr>
      </w:pPr>
      <w:r w:rsidRPr="002C7764">
        <w:rPr>
          <w:rStyle w:val="Strong"/>
        </w:rPr>
        <w:t>Assurances</w:t>
      </w:r>
    </w:p>
    <w:p w14:paraId="6691CCED" w14:textId="63509F46" w:rsidR="00C311DA" w:rsidRDefault="00C311DA" w:rsidP="00C311DA">
      <w:pPr>
        <w:widowControl w:val="0"/>
        <w:spacing w:line="240" w:lineRule="auto"/>
        <w:rPr>
          <w:rFonts w:ascii="Times New Roman" w:hAnsi="Times New Roman"/>
        </w:rPr>
      </w:pPr>
      <w:r>
        <w:rPr>
          <w:rFonts w:ascii="Times New Roman" w:hAnsi="Times New Roman"/>
        </w:rPr>
        <w:t>In order to receive fiscal year (FY) 2017 ESEA funds on July 1, 2017, for the programs that may be included in a consolidated State plan, and consistent with ESEA section 8302, each SEA must also submit a comprehensive set of assurances to the Department at a date and time established by the Secretary.  In the near future, the Department will publish an information collection request that details these assurances.</w:t>
      </w:r>
    </w:p>
    <w:p w14:paraId="026F9A16" w14:textId="77777777" w:rsidR="00C311DA" w:rsidRPr="00956ACF" w:rsidRDefault="00C311DA" w:rsidP="00C311DA">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1" w:history="1">
        <w:r w:rsidRPr="00AD470C">
          <w:rPr>
            <w:rStyle w:val="Hyperlink"/>
            <w:rFonts w:ascii="Times New Roman" w:hAnsi="Times New Roman"/>
          </w:rPr>
          <w:t>OSS.Alabama@ed.gov</w:t>
        </w:r>
      </w:hyperlink>
      <w:r w:rsidRPr="00956ACF">
        <w:rPr>
          <w:rFonts w:ascii="Times New Roman" w:hAnsi="Times New Roman"/>
        </w:rPr>
        <w:t>).</w:t>
      </w:r>
    </w:p>
    <w:p w14:paraId="41509B47" w14:textId="744351A5" w:rsidR="00C311DA" w:rsidRPr="00956ACF" w:rsidRDefault="00C311DA" w:rsidP="00C311DA">
      <w:pPr>
        <w:spacing w:after="0" w:line="240" w:lineRule="auto"/>
        <w:rPr>
          <w:rFonts w:ascii="Times New Roman" w:hAnsi="Times New Roman"/>
          <w:szCs w:val="24"/>
        </w:rPr>
      </w:pPr>
    </w:p>
    <w:p w14:paraId="62BB6756" w14:textId="0BD73EE7" w:rsidR="002E71F7" w:rsidRDefault="002E71F7" w:rsidP="00C311DA">
      <w:pPr>
        <w:sectPr w:rsidR="002E71F7" w:rsidSect="00EC390C">
          <w:footerReference w:type="default" r:id="rId12"/>
          <w:pgSz w:w="12240" w:h="15840"/>
          <w:pgMar w:top="1440" w:right="1440" w:bottom="1440" w:left="1440" w:header="720" w:footer="720" w:gutter="0"/>
          <w:pgNumType w:fmt="lowerRoman" w:start="1"/>
          <w:cols w:space="720"/>
          <w:docGrid w:linePitch="360"/>
        </w:sectPr>
      </w:pPr>
    </w:p>
    <w:p w14:paraId="19B8CAAB" w14:textId="027F4F1B" w:rsidR="00BC5E00" w:rsidRPr="00E672BC" w:rsidRDefault="00BC5E00" w:rsidP="00E672BC">
      <w:pPr>
        <w:rPr>
          <w:rStyle w:val="Strong"/>
        </w:rPr>
      </w:pPr>
      <w:r w:rsidRPr="00E672BC">
        <w:rPr>
          <w:rStyle w:val="Strong"/>
        </w:rPr>
        <w:lastRenderedPageBreak/>
        <w:t>Cover Page</w:t>
      </w:r>
    </w:p>
    <w:p w14:paraId="72D4C282" w14:textId="57EB5839" w:rsidR="005C00D0" w:rsidRDefault="005C00D0" w:rsidP="0006645C">
      <w:pPr>
        <w:spacing w:after="0" w:line="240" w:lineRule="auto"/>
        <w:rPr>
          <w:rFonts w:ascii="Calibri" w:hAnsi="Calibri"/>
        </w:rPr>
      </w:pPr>
      <w:r>
        <w:rPr>
          <w:noProof/>
        </w:rPr>
        <w:drawing>
          <wp:inline distT="0" distB="0" distL="0" distR="0" wp14:anchorId="7AA4580C" wp14:editId="20CA551E">
            <wp:extent cx="6080759" cy="7486650"/>
            <wp:effectExtent l="0" t="0" r="0" b="0"/>
            <wp:docPr id="9" name="Picture 9" descr="Cover Page with Signatures, provides Contact Information, Assurances and Signatures from Alaska Department of Education &amp; Early Development (D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1310" cy="7499641"/>
                    </a:xfrm>
                    <a:prstGeom prst="rect">
                      <a:avLst/>
                    </a:prstGeom>
                  </pic:spPr>
                </pic:pic>
              </a:graphicData>
            </a:graphic>
          </wp:inline>
        </w:drawing>
      </w:r>
    </w:p>
    <w:p w14:paraId="67CDF2F8" w14:textId="025D2970" w:rsidR="00FC3A22" w:rsidRDefault="00FC3A22">
      <w:pPr>
        <w:rPr>
          <w:rFonts w:ascii="Calibri" w:hAnsi="Calibri"/>
        </w:rPr>
      </w:pPr>
      <w:r>
        <w:rPr>
          <w:rFonts w:ascii="Calibri" w:hAnsi="Calibri"/>
        </w:rPr>
        <w:br w:type="page"/>
      </w:r>
    </w:p>
    <w:p w14:paraId="62EEFCFE" w14:textId="77777777" w:rsidR="0006645C" w:rsidRPr="00E672BC" w:rsidRDefault="0006645C" w:rsidP="00E672BC">
      <w:pPr>
        <w:rPr>
          <w:rStyle w:val="Strong"/>
        </w:rPr>
      </w:pPr>
      <w:r w:rsidRPr="00E672BC">
        <w:rPr>
          <w:rStyle w:val="Strong"/>
        </w:rPr>
        <w:lastRenderedPageBreak/>
        <w:t xml:space="preserve">Programs Included in the Consolidated State </w:t>
      </w:r>
      <w:r w:rsidR="009E5E62" w:rsidRPr="00E672BC">
        <w:rPr>
          <w:rStyle w:val="Strong"/>
        </w:rPr>
        <w:t>Application</w:t>
      </w:r>
    </w:p>
    <w:p w14:paraId="056C8181" w14:textId="77777777" w:rsidR="0006645C" w:rsidRPr="008C7B62" w:rsidRDefault="0006645C" w:rsidP="0006645C">
      <w:pPr>
        <w:spacing w:after="0" w:line="240" w:lineRule="auto"/>
        <w:rPr>
          <w:rFonts w:ascii="Calibri" w:hAnsi="Calibri"/>
          <w:i/>
        </w:rPr>
      </w:pPr>
      <w:r w:rsidRPr="008C7B62">
        <w:rPr>
          <w:rFonts w:ascii="Calibri" w:hAnsi="Calibri"/>
          <w:i/>
          <w:u w:val="single"/>
        </w:rPr>
        <w:t>Instructions</w:t>
      </w:r>
      <w:r w:rsidRPr="008C7B62">
        <w:rPr>
          <w:rFonts w:ascii="Calibri" w:hAnsi="Calibri"/>
          <w:i/>
        </w:rPr>
        <w:t xml:space="preserve">: Indicate below by checking the appropriate </w:t>
      </w:r>
      <w:proofErr w:type="gramStart"/>
      <w:r w:rsidRPr="008C7B62">
        <w:rPr>
          <w:rFonts w:ascii="Calibri" w:hAnsi="Calibri"/>
          <w:i/>
        </w:rPr>
        <w:t>box(</w:t>
      </w:r>
      <w:proofErr w:type="spellStart"/>
      <w:proofErr w:type="gramEnd"/>
      <w:r w:rsidRPr="008C7B62">
        <w:rPr>
          <w:rFonts w:ascii="Calibri" w:hAnsi="Calibri"/>
          <w:i/>
        </w:rPr>
        <w:t>es</w:t>
      </w:r>
      <w:proofErr w:type="spellEnd"/>
      <w:r w:rsidRPr="008C7B62">
        <w:rPr>
          <w:rFonts w:ascii="Calibri" w:hAnsi="Calibri"/>
          <w:i/>
        </w:rPr>
        <w:t>) which programs the SEA included in its consolidated State plan.  If an SEA elected not to include one or more of the programs below in its consolidated State plan, but is eligible and wishes to receive funds under the program(s), it must submit individual program plans for those programs that meet all statutory and regulatory requirements</w:t>
      </w:r>
      <w:r w:rsidRPr="008C7B62" w:rsidDel="00B64800">
        <w:rPr>
          <w:rFonts w:ascii="Calibri" w:hAnsi="Calibri"/>
          <w:i/>
        </w:rPr>
        <w:t xml:space="preserve"> with its consolidated State plan in a single submission</w:t>
      </w:r>
      <w:r w:rsidRPr="008C7B62">
        <w:rPr>
          <w:rFonts w:ascii="Calibri" w:hAnsi="Calibri"/>
          <w:i/>
        </w:rPr>
        <w:t xml:space="preserve">. </w:t>
      </w:r>
      <w:r w:rsidRPr="008C7B62">
        <w:rPr>
          <w:rFonts w:ascii="Calibri" w:hAnsi="Calibri"/>
          <w:i/>
        </w:rPr>
        <w:br/>
      </w:r>
    </w:p>
    <w:p w14:paraId="2EB0F48D" w14:textId="77777777" w:rsidR="0006645C" w:rsidRPr="008C7B62" w:rsidRDefault="00A12A18" w:rsidP="0006645C">
      <w:pPr>
        <w:spacing w:line="240" w:lineRule="auto"/>
        <w:rPr>
          <w:rFonts w:ascii="Calibri" w:hAnsi="Calibri"/>
        </w:rPr>
      </w:pPr>
      <w:sdt>
        <w:sdtPr>
          <w:rPr>
            <w:rFonts w:ascii="Calibri" w:hAnsi="Calibri"/>
          </w:rPr>
          <w:id w:val="-1981301715"/>
          <w14:checkbox>
            <w14:checked w14:val="0"/>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hAnsi="Calibri"/>
        </w:rPr>
        <w:t xml:space="preserve"> Check this box if the SEA has included </w:t>
      </w:r>
      <w:r w:rsidR="0006645C" w:rsidRPr="008C7B62">
        <w:rPr>
          <w:rFonts w:ascii="Calibri" w:hAnsi="Calibri"/>
          <w:u w:val="single"/>
        </w:rPr>
        <w:t>all</w:t>
      </w:r>
      <w:r w:rsidR="0006645C" w:rsidRPr="008C7B62">
        <w:rPr>
          <w:rFonts w:ascii="Calibri" w:hAnsi="Calibri"/>
        </w:rPr>
        <w:t xml:space="preserve"> of the following programs in its consolidated State </w:t>
      </w:r>
      <w:r w:rsidR="009E5E62">
        <w:rPr>
          <w:rFonts w:ascii="Calibri" w:hAnsi="Calibri"/>
        </w:rPr>
        <w:t>application</w:t>
      </w:r>
      <w:r w:rsidR="0006645C" w:rsidRPr="008C7B62">
        <w:rPr>
          <w:rFonts w:ascii="Calibri" w:hAnsi="Calibri"/>
        </w:rPr>
        <w:t xml:space="preserve">. </w:t>
      </w:r>
    </w:p>
    <w:p w14:paraId="55A29206" w14:textId="77777777" w:rsidR="0006645C" w:rsidRPr="008C7B62" w:rsidRDefault="0006645C" w:rsidP="0006645C">
      <w:pPr>
        <w:spacing w:line="240" w:lineRule="auto"/>
        <w:rPr>
          <w:rFonts w:ascii="Calibri" w:hAnsi="Calibri"/>
          <w:b/>
        </w:rPr>
      </w:pPr>
      <w:proofErr w:type="gramStart"/>
      <w:r w:rsidRPr="008C7B62">
        <w:rPr>
          <w:rFonts w:ascii="Calibri" w:hAnsi="Calibri"/>
          <w:b/>
        </w:rPr>
        <w:t>or</w:t>
      </w:r>
      <w:proofErr w:type="gramEnd"/>
    </w:p>
    <w:p w14:paraId="58C8D0FC" w14:textId="77777777" w:rsidR="0006645C" w:rsidRPr="008C7B62" w:rsidRDefault="0006645C" w:rsidP="0006645C">
      <w:pPr>
        <w:spacing w:line="240" w:lineRule="auto"/>
        <w:rPr>
          <w:rFonts w:ascii="Calibri" w:hAnsi="Calibri"/>
        </w:rPr>
      </w:pPr>
      <w:r w:rsidRPr="008C7B62">
        <w:rPr>
          <w:rFonts w:ascii="Calibri" w:hAnsi="Calibri"/>
        </w:rPr>
        <w:t>If all programs are not included, check each program listed below that the SEA includes in its consolidated State plan:</w:t>
      </w:r>
    </w:p>
    <w:p w14:paraId="2B064776" w14:textId="77777777" w:rsidR="0006645C" w:rsidRPr="008C7B62" w:rsidRDefault="00A12A18" w:rsidP="0006645C">
      <w:pPr>
        <w:spacing w:after="0" w:line="240" w:lineRule="auto"/>
        <w:rPr>
          <w:rFonts w:ascii="Calibri" w:hAnsi="Calibri"/>
        </w:rPr>
      </w:pPr>
      <w:sdt>
        <w:sdtPr>
          <w:rPr>
            <w:rFonts w:ascii="Calibri" w:eastAsia="MS Mincho" w:hAnsi="Calibri"/>
          </w:rPr>
          <w:id w:val="1950118474"/>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 Part A:  Improving Basic Programs Operated by Local Educational Agencies</w:t>
      </w:r>
    </w:p>
    <w:p w14:paraId="2AF053A2" w14:textId="77777777" w:rsidR="0006645C" w:rsidRPr="008C7B62" w:rsidRDefault="0006645C" w:rsidP="0006645C">
      <w:pPr>
        <w:spacing w:after="0" w:line="240" w:lineRule="auto"/>
        <w:rPr>
          <w:rFonts w:ascii="Calibri" w:hAnsi="Calibri"/>
        </w:rPr>
      </w:pPr>
    </w:p>
    <w:p w14:paraId="60C5388E" w14:textId="77777777" w:rsidR="0006645C" w:rsidRPr="008C7B62" w:rsidRDefault="00A12A18" w:rsidP="0006645C">
      <w:pPr>
        <w:spacing w:after="0" w:line="240" w:lineRule="auto"/>
        <w:rPr>
          <w:rFonts w:ascii="Calibri" w:hAnsi="Calibri"/>
        </w:rPr>
      </w:pPr>
      <w:sdt>
        <w:sdtPr>
          <w:rPr>
            <w:rFonts w:ascii="Calibri" w:eastAsia="MS Mincho" w:hAnsi="Calibri"/>
          </w:rPr>
          <w:id w:val="592431781"/>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 Part C:  Education of Migratory Children</w:t>
      </w:r>
    </w:p>
    <w:p w14:paraId="09177D1A" w14:textId="77777777" w:rsidR="0006645C" w:rsidRPr="008C7B62" w:rsidRDefault="0006645C" w:rsidP="0006645C">
      <w:pPr>
        <w:spacing w:after="0" w:line="240" w:lineRule="auto"/>
        <w:rPr>
          <w:rFonts w:ascii="Calibri" w:hAnsi="Calibri"/>
        </w:rPr>
      </w:pPr>
    </w:p>
    <w:p w14:paraId="6526F5EE" w14:textId="77777777" w:rsidR="0006645C" w:rsidRPr="008C7B62" w:rsidRDefault="00A12A18" w:rsidP="0006645C">
      <w:pPr>
        <w:tabs>
          <w:tab w:val="left" w:pos="360"/>
        </w:tabs>
        <w:spacing w:after="0" w:line="240" w:lineRule="auto"/>
        <w:ind w:left="360" w:hanging="360"/>
        <w:contextualSpacing/>
        <w:rPr>
          <w:rFonts w:ascii="Calibri" w:hAnsi="Calibri"/>
        </w:rPr>
      </w:pPr>
      <w:sdt>
        <w:sdtPr>
          <w:rPr>
            <w:rFonts w:ascii="Calibri" w:eastAsia="MS Mincho" w:hAnsi="Calibri"/>
          </w:rPr>
          <w:id w:val="-1969194994"/>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 Part D:  Prevention and Intervention Programs for Children and Youth Who Are Neglected, Delinquent, or At-Risk</w:t>
      </w:r>
    </w:p>
    <w:p w14:paraId="22B5A11A" w14:textId="77777777" w:rsidR="0006645C" w:rsidRPr="008C7B62" w:rsidRDefault="0006645C" w:rsidP="0006645C">
      <w:pPr>
        <w:tabs>
          <w:tab w:val="left" w:pos="432"/>
        </w:tabs>
        <w:spacing w:after="0" w:line="240" w:lineRule="auto"/>
        <w:contextualSpacing/>
        <w:rPr>
          <w:rFonts w:ascii="Calibri" w:hAnsi="Calibri"/>
        </w:rPr>
      </w:pPr>
    </w:p>
    <w:p w14:paraId="2CF21CAB" w14:textId="77777777" w:rsidR="0006645C" w:rsidRPr="008C7B62" w:rsidRDefault="00A12A18" w:rsidP="0006645C">
      <w:pPr>
        <w:tabs>
          <w:tab w:val="left" w:pos="432"/>
        </w:tabs>
        <w:spacing w:after="0" w:line="240" w:lineRule="auto"/>
        <w:contextualSpacing/>
        <w:rPr>
          <w:rFonts w:ascii="Calibri" w:hAnsi="Calibri"/>
        </w:rPr>
      </w:pPr>
      <w:sdt>
        <w:sdtPr>
          <w:rPr>
            <w:rFonts w:ascii="Calibri" w:eastAsia="MS Mincho" w:hAnsi="Calibri"/>
          </w:rPr>
          <w:id w:val="215475893"/>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II, Part A:  Supporting Effective Instruction</w:t>
      </w:r>
    </w:p>
    <w:p w14:paraId="5F4284C4" w14:textId="77777777" w:rsidR="0006645C" w:rsidRPr="008C7B62" w:rsidRDefault="0006645C" w:rsidP="0006645C">
      <w:pPr>
        <w:tabs>
          <w:tab w:val="left" w:pos="432"/>
        </w:tabs>
        <w:spacing w:after="0" w:line="240" w:lineRule="auto"/>
        <w:contextualSpacing/>
        <w:rPr>
          <w:rFonts w:ascii="Calibri" w:hAnsi="Calibri"/>
        </w:rPr>
      </w:pPr>
    </w:p>
    <w:p w14:paraId="15EC3955" w14:textId="77777777" w:rsidR="0006645C" w:rsidRPr="008C7B62" w:rsidRDefault="00A12A18" w:rsidP="0006645C">
      <w:pPr>
        <w:tabs>
          <w:tab w:val="left" w:pos="432"/>
        </w:tabs>
        <w:spacing w:after="0" w:line="240" w:lineRule="auto"/>
        <w:contextualSpacing/>
        <w:rPr>
          <w:rFonts w:ascii="Calibri" w:hAnsi="Calibri"/>
        </w:rPr>
      </w:pPr>
      <w:sdt>
        <w:sdtPr>
          <w:rPr>
            <w:rFonts w:ascii="Calibri" w:eastAsia="MS Mincho" w:hAnsi="Calibri"/>
          </w:rPr>
          <w:id w:val="219407649"/>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III, Part A:  English Language Acquisition, Language Enhancement, and Academic Achievement</w:t>
      </w:r>
    </w:p>
    <w:p w14:paraId="22603B76" w14:textId="77777777" w:rsidR="0006645C" w:rsidRPr="008C7B62" w:rsidRDefault="0006645C" w:rsidP="0006645C">
      <w:pPr>
        <w:tabs>
          <w:tab w:val="left" w:pos="432"/>
        </w:tabs>
        <w:spacing w:after="0" w:line="240" w:lineRule="auto"/>
        <w:contextualSpacing/>
        <w:rPr>
          <w:rFonts w:ascii="Calibri" w:hAnsi="Calibri"/>
        </w:rPr>
      </w:pPr>
    </w:p>
    <w:p w14:paraId="60D5DF94" w14:textId="77777777" w:rsidR="0006645C" w:rsidRPr="008C7B62" w:rsidRDefault="00A12A18" w:rsidP="0006645C">
      <w:pPr>
        <w:spacing w:line="240" w:lineRule="auto"/>
        <w:rPr>
          <w:rFonts w:ascii="Calibri" w:hAnsi="Calibri"/>
        </w:rPr>
      </w:pPr>
      <w:sdt>
        <w:sdtPr>
          <w:rPr>
            <w:rFonts w:ascii="Calibri" w:eastAsia="MS Mincho" w:hAnsi="Calibri"/>
          </w:rPr>
          <w:id w:val="-1697691139"/>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IV, Part A:  Student Support and Academic Enrichment Grants</w:t>
      </w:r>
    </w:p>
    <w:p w14:paraId="07EF1613" w14:textId="77777777" w:rsidR="0006645C" w:rsidRPr="008C7B62" w:rsidRDefault="00A12A18" w:rsidP="0006645C">
      <w:pPr>
        <w:tabs>
          <w:tab w:val="left" w:pos="432"/>
        </w:tabs>
        <w:spacing w:after="0" w:line="240" w:lineRule="auto"/>
        <w:contextualSpacing/>
        <w:rPr>
          <w:rFonts w:ascii="Calibri" w:hAnsi="Calibri"/>
        </w:rPr>
      </w:pPr>
      <w:sdt>
        <w:sdtPr>
          <w:rPr>
            <w:rFonts w:ascii="Calibri" w:eastAsia="MS Mincho" w:hAnsi="Calibri"/>
          </w:rPr>
          <w:id w:val="-1179184035"/>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IV, Part B:  21st Century Community Learning Centers</w:t>
      </w:r>
    </w:p>
    <w:p w14:paraId="7A2E7A31" w14:textId="77777777" w:rsidR="0006645C" w:rsidRPr="008C7B62" w:rsidRDefault="0006645C" w:rsidP="0006645C">
      <w:pPr>
        <w:tabs>
          <w:tab w:val="left" w:pos="432"/>
        </w:tabs>
        <w:spacing w:after="0" w:line="240" w:lineRule="auto"/>
        <w:contextualSpacing/>
        <w:rPr>
          <w:rFonts w:ascii="Calibri" w:hAnsi="Calibri"/>
        </w:rPr>
      </w:pPr>
    </w:p>
    <w:p w14:paraId="641298D8" w14:textId="77777777" w:rsidR="0006645C" w:rsidRPr="008C7B62" w:rsidRDefault="00A12A18" w:rsidP="0006645C">
      <w:pPr>
        <w:spacing w:line="240" w:lineRule="auto"/>
        <w:rPr>
          <w:rFonts w:ascii="Calibri" w:hAnsi="Calibri"/>
        </w:rPr>
      </w:pPr>
      <w:sdt>
        <w:sdtPr>
          <w:rPr>
            <w:rFonts w:ascii="Calibri" w:eastAsia="MS Mincho" w:hAnsi="Calibri"/>
          </w:rPr>
          <w:id w:val="-1896818377"/>
          <w14:checkbox>
            <w14:checked w14:val="0"/>
            <w14:checkedState w14:val="2612" w14:font="MS Gothic"/>
            <w14:uncheckedState w14:val="2610" w14:font="MS Gothic"/>
          </w14:checkbox>
        </w:sdtPr>
        <w:sdtEndPr/>
        <w:sdtContent>
          <w:r w:rsidR="0006645C" w:rsidRPr="008C7B62">
            <w:rPr>
              <w:rFonts w:ascii="Segoe UI Symbol" w:eastAsia="MS Mincho" w:hAnsi="Segoe UI Symbol" w:cs="Segoe UI Symbol"/>
            </w:rPr>
            <w:t>☐</w:t>
          </w:r>
        </w:sdtContent>
      </w:sdt>
      <w:r w:rsidR="0006645C" w:rsidRPr="008C7B62">
        <w:rPr>
          <w:rFonts w:ascii="Calibri" w:eastAsia="MS Mincho" w:hAnsi="Calibri"/>
        </w:rPr>
        <w:t xml:space="preserve"> </w:t>
      </w:r>
      <w:r w:rsidR="0006645C" w:rsidRPr="008C7B62">
        <w:rPr>
          <w:rFonts w:ascii="Calibri" w:hAnsi="Calibri"/>
        </w:rPr>
        <w:t>Title V, Part B, Subpart 2:  Rural and Low-Income School Program</w:t>
      </w:r>
    </w:p>
    <w:p w14:paraId="387E77CD" w14:textId="77777777" w:rsidR="0006645C" w:rsidRPr="008C7B62" w:rsidRDefault="00A12A18" w:rsidP="0006645C">
      <w:pPr>
        <w:spacing w:line="240" w:lineRule="auto"/>
        <w:rPr>
          <w:rFonts w:ascii="Calibri" w:hAnsi="Calibri"/>
        </w:rPr>
      </w:pPr>
      <w:sdt>
        <w:sdtPr>
          <w:rPr>
            <w:rFonts w:ascii="Calibri" w:eastAsia="MS Mincho" w:hAnsi="Calibri"/>
          </w:rPr>
          <w:id w:val="1820535673"/>
          <w14:checkbox>
            <w14:checked w14:val="1"/>
            <w14:checkedState w14:val="2612" w14:font="MS Gothic"/>
            <w14:uncheckedState w14:val="2610" w14:font="MS Gothic"/>
          </w14:checkbox>
        </w:sdtPr>
        <w:sdtEndPr/>
        <w:sdtContent>
          <w:r w:rsidR="005B04F6">
            <w:rPr>
              <w:rFonts w:ascii="MS Gothic" w:eastAsia="MS Gothic" w:hAnsi="MS Gothic" w:hint="eastAsia"/>
            </w:rPr>
            <w:t>☒</w:t>
          </w:r>
        </w:sdtContent>
      </w:sdt>
      <w:r w:rsidR="0006645C" w:rsidRPr="008C7B62">
        <w:rPr>
          <w:rFonts w:ascii="Calibri" w:eastAsia="MS Mincho" w:hAnsi="Calibri"/>
        </w:rPr>
        <w:t xml:space="preserve"> </w:t>
      </w:r>
      <w:r w:rsidR="0006645C" w:rsidRPr="008C7B62">
        <w:rPr>
          <w:rFonts w:ascii="Calibri" w:hAnsi="Calibri"/>
        </w:rPr>
        <w:t>Title VII, Subpart B of the McKinney-Vento Homeless Assistance Act: Education for Homeless Children and Youth Program (McKinney-Vento Act)</w:t>
      </w:r>
    </w:p>
    <w:p w14:paraId="66C6CB70" w14:textId="77777777" w:rsidR="0006645C" w:rsidRPr="00E672BC" w:rsidRDefault="0006645C" w:rsidP="00E672BC">
      <w:pPr>
        <w:rPr>
          <w:rStyle w:val="Strong"/>
        </w:rPr>
      </w:pPr>
      <w:r w:rsidRPr="00E672BC">
        <w:rPr>
          <w:rStyle w:val="Strong"/>
        </w:rPr>
        <w:t>Instructions</w:t>
      </w:r>
    </w:p>
    <w:p w14:paraId="73776AF7" w14:textId="77777777" w:rsidR="0006645C" w:rsidRPr="00A400AE" w:rsidRDefault="0006645C" w:rsidP="0006645C">
      <w:pPr>
        <w:spacing w:line="240" w:lineRule="auto"/>
        <w:rPr>
          <w:rFonts w:ascii="Calibri" w:hAnsi="Calibri" w:cs="Times New Roman"/>
          <w:b/>
          <w:i/>
        </w:rPr>
      </w:pPr>
      <w:r w:rsidRPr="008C7B62">
        <w:rPr>
          <w:rFonts w:ascii="Calibri" w:hAnsi="Calibri" w:cs="Times New Roman"/>
          <w:i/>
        </w:rPr>
        <w:t xml:space="preserve">Each SEA must provide descriptions and other information that address each requirement listed below for the programs included in its consolidated State plan. 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 for each included program. </w:t>
      </w:r>
    </w:p>
    <w:p w14:paraId="474F796B" w14:textId="77777777" w:rsidR="00DB6A32" w:rsidRDefault="00DB6A32">
      <w:r>
        <w:br w:type="page"/>
      </w:r>
    </w:p>
    <w:sdt>
      <w:sdtPr>
        <w:rPr>
          <w:rFonts w:asciiTheme="minorHAnsi" w:eastAsiaTheme="minorHAnsi" w:hAnsiTheme="minorHAnsi" w:cstheme="minorBidi"/>
          <w:b w:val="0"/>
          <w:sz w:val="22"/>
          <w:szCs w:val="22"/>
        </w:rPr>
        <w:id w:val="-251204708"/>
        <w:docPartObj>
          <w:docPartGallery w:val="Table of Contents"/>
          <w:docPartUnique/>
        </w:docPartObj>
      </w:sdtPr>
      <w:sdtEndPr>
        <w:rPr>
          <w:bCs/>
          <w:noProof/>
        </w:rPr>
      </w:sdtEndPr>
      <w:sdtContent>
        <w:p w14:paraId="38D78EA2" w14:textId="648B9502" w:rsidR="0064319B" w:rsidRDefault="002F298D">
          <w:pPr>
            <w:pStyle w:val="TOCHeading"/>
          </w:pPr>
          <w:r>
            <w:t xml:space="preserve">Table of </w:t>
          </w:r>
          <w:r w:rsidR="0064319B">
            <w:t>Contents</w:t>
          </w:r>
        </w:p>
        <w:p w14:paraId="46DAFB24" w14:textId="7377934E" w:rsidR="002F298D" w:rsidRDefault="0064319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231618" w:history="1">
            <w:r w:rsidR="002F298D" w:rsidRPr="00B00877">
              <w:rPr>
                <w:rStyle w:val="Hyperlink"/>
                <w:noProof/>
              </w:rPr>
              <w:t>Introduction</w:t>
            </w:r>
            <w:r w:rsidR="002F298D">
              <w:rPr>
                <w:noProof/>
                <w:webHidden/>
              </w:rPr>
              <w:tab/>
            </w:r>
            <w:r w:rsidR="002F298D">
              <w:rPr>
                <w:noProof/>
                <w:webHidden/>
              </w:rPr>
              <w:fldChar w:fldCharType="begin"/>
            </w:r>
            <w:r w:rsidR="002F298D">
              <w:rPr>
                <w:noProof/>
                <w:webHidden/>
              </w:rPr>
              <w:instrText xml:space="preserve"> PAGEREF _Toc6231618 \h </w:instrText>
            </w:r>
            <w:r w:rsidR="002F298D">
              <w:rPr>
                <w:noProof/>
                <w:webHidden/>
              </w:rPr>
            </w:r>
            <w:r w:rsidR="002F298D">
              <w:rPr>
                <w:noProof/>
                <w:webHidden/>
              </w:rPr>
              <w:fldChar w:fldCharType="separate"/>
            </w:r>
            <w:r w:rsidR="002F298D">
              <w:rPr>
                <w:noProof/>
                <w:webHidden/>
              </w:rPr>
              <w:t>4</w:t>
            </w:r>
            <w:r w:rsidR="002F298D">
              <w:rPr>
                <w:noProof/>
                <w:webHidden/>
              </w:rPr>
              <w:fldChar w:fldCharType="end"/>
            </w:r>
          </w:hyperlink>
        </w:p>
        <w:p w14:paraId="59E17D6E" w14:textId="68BCB8A2" w:rsidR="002F298D" w:rsidRDefault="00A12A18">
          <w:pPr>
            <w:pStyle w:val="TOC1"/>
            <w:tabs>
              <w:tab w:val="left" w:pos="440"/>
              <w:tab w:val="right" w:leader="dot" w:pos="9350"/>
            </w:tabs>
            <w:rPr>
              <w:rFonts w:eastAsiaTheme="minorEastAsia"/>
              <w:noProof/>
            </w:rPr>
          </w:pPr>
          <w:hyperlink w:anchor="_Toc6231619" w:history="1">
            <w:r w:rsidR="002F298D" w:rsidRPr="00B00877">
              <w:rPr>
                <w:rStyle w:val="Hyperlink"/>
                <w:noProof/>
              </w:rPr>
              <w:t>A.</w:t>
            </w:r>
            <w:r w:rsidR="002F298D">
              <w:rPr>
                <w:rFonts w:eastAsiaTheme="minorEastAsia"/>
                <w:noProof/>
              </w:rPr>
              <w:tab/>
            </w:r>
            <w:r w:rsidR="002F298D" w:rsidRPr="00B00877">
              <w:rPr>
                <w:rStyle w:val="Hyperlink"/>
                <w:noProof/>
              </w:rPr>
              <w:t>Title I, Part A: Improving Basic Programs Operated by Local Educational Agencies</w:t>
            </w:r>
            <w:r w:rsidR="002F298D">
              <w:rPr>
                <w:noProof/>
                <w:webHidden/>
              </w:rPr>
              <w:tab/>
            </w:r>
            <w:r w:rsidR="002F298D">
              <w:rPr>
                <w:noProof/>
                <w:webHidden/>
              </w:rPr>
              <w:fldChar w:fldCharType="begin"/>
            </w:r>
            <w:r w:rsidR="002F298D">
              <w:rPr>
                <w:noProof/>
                <w:webHidden/>
              </w:rPr>
              <w:instrText xml:space="preserve"> PAGEREF _Toc6231619 \h </w:instrText>
            </w:r>
            <w:r w:rsidR="002F298D">
              <w:rPr>
                <w:noProof/>
                <w:webHidden/>
              </w:rPr>
            </w:r>
            <w:r w:rsidR="002F298D">
              <w:rPr>
                <w:noProof/>
                <w:webHidden/>
              </w:rPr>
              <w:fldChar w:fldCharType="separate"/>
            </w:r>
            <w:r w:rsidR="002F298D">
              <w:rPr>
                <w:noProof/>
                <w:webHidden/>
              </w:rPr>
              <w:t>6</w:t>
            </w:r>
            <w:r w:rsidR="002F298D">
              <w:rPr>
                <w:noProof/>
                <w:webHidden/>
              </w:rPr>
              <w:fldChar w:fldCharType="end"/>
            </w:r>
          </w:hyperlink>
        </w:p>
        <w:p w14:paraId="3A95BE47" w14:textId="72480953" w:rsidR="002F298D" w:rsidRDefault="00A12A18">
          <w:pPr>
            <w:pStyle w:val="TOC2"/>
            <w:tabs>
              <w:tab w:val="left" w:pos="660"/>
              <w:tab w:val="right" w:leader="dot" w:pos="9350"/>
            </w:tabs>
            <w:rPr>
              <w:rFonts w:eastAsiaTheme="minorEastAsia"/>
              <w:noProof/>
            </w:rPr>
          </w:pPr>
          <w:hyperlink w:anchor="_Toc6231620" w:history="1">
            <w:r w:rsidR="002F298D" w:rsidRPr="00B00877">
              <w:rPr>
                <w:rStyle w:val="Hyperlink"/>
                <w:bCs/>
                <w:noProof/>
              </w:rPr>
              <w:t>1.</w:t>
            </w:r>
            <w:r w:rsidR="002F298D">
              <w:rPr>
                <w:rFonts w:eastAsiaTheme="minorEastAsia"/>
                <w:noProof/>
              </w:rPr>
              <w:tab/>
            </w:r>
            <w:r w:rsidR="002F298D" w:rsidRPr="00B00877">
              <w:rPr>
                <w:rStyle w:val="Hyperlink"/>
                <w:noProof/>
              </w:rPr>
              <w:t xml:space="preserve">Challenging State Academic Standards and Assessments </w:t>
            </w:r>
            <w:r w:rsidR="002F298D" w:rsidRPr="00B00877">
              <w:rPr>
                <w:rStyle w:val="Hyperlink"/>
                <w:bCs/>
                <w:noProof/>
              </w:rPr>
              <w:t>(ESEA section 1111(b)(1) and (2) and 34 CFR §§ 200.1−200.8.)</w:t>
            </w:r>
            <w:r w:rsidR="002F298D">
              <w:rPr>
                <w:noProof/>
                <w:webHidden/>
              </w:rPr>
              <w:tab/>
            </w:r>
            <w:r w:rsidR="002F298D">
              <w:rPr>
                <w:noProof/>
                <w:webHidden/>
              </w:rPr>
              <w:fldChar w:fldCharType="begin"/>
            </w:r>
            <w:r w:rsidR="002F298D">
              <w:rPr>
                <w:noProof/>
                <w:webHidden/>
              </w:rPr>
              <w:instrText xml:space="preserve"> PAGEREF _Toc6231620 \h </w:instrText>
            </w:r>
            <w:r w:rsidR="002F298D">
              <w:rPr>
                <w:noProof/>
                <w:webHidden/>
              </w:rPr>
            </w:r>
            <w:r w:rsidR="002F298D">
              <w:rPr>
                <w:noProof/>
                <w:webHidden/>
              </w:rPr>
              <w:fldChar w:fldCharType="separate"/>
            </w:r>
            <w:r w:rsidR="002F298D">
              <w:rPr>
                <w:noProof/>
                <w:webHidden/>
              </w:rPr>
              <w:t>6</w:t>
            </w:r>
            <w:r w:rsidR="002F298D">
              <w:rPr>
                <w:noProof/>
                <w:webHidden/>
              </w:rPr>
              <w:fldChar w:fldCharType="end"/>
            </w:r>
          </w:hyperlink>
        </w:p>
        <w:p w14:paraId="1DB1710D" w14:textId="628CAFD5" w:rsidR="002F298D" w:rsidRDefault="00A12A18">
          <w:pPr>
            <w:pStyle w:val="TOC2"/>
            <w:tabs>
              <w:tab w:val="left" w:pos="660"/>
              <w:tab w:val="right" w:leader="dot" w:pos="9350"/>
            </w:tabs>
            <w:rPr>
              <w:rFonts w:eastAsiaTheme="minorEastAsia"/>
              <w:noProof/>
            </w:rPr>
          </w:pPr>
          <w:hyperlink w:anchor="_Toc6231621" w:history="1">
            <w:r w:rsidR="002F298D" w:rsidRPr="00B00877">
              <w:rPr>
                <w:rStyle w:val="Hyperlink"/>
                <w:bCs/>
                <w:noProof/>
              </w:rPr>
              <w:t>2.</w:t>
            </w:r>
            <w:r w:rsidR="002F298D">
              <w:rPr>
                <w:rFonts w:eastAsiaTheme="minorEastAsia"/>
                <w:noProof/>
              </w:rPr>
              <w:tab/>
            </w:r>
            <w:r w:rsidR="002F298D" w:rsidRPr="00B00877">
              <w:rPr>
                <w:rStyle w:val="Hyperlink"/>
                <w:noProof/>
              </w:rPr>
              <w:t xml:space="preserve">Eighth Grade Math Exception </w:t>
            </w:r>
            <w:r w:rsidR="002F298D" w:rsidRPr="00B00877">
              <w:rPr>
                <w:rStyle w:val="Hyperlink"/>
                <w:bCs/>
                <w:noProof/>
              </w:rPr>
              <w:t>(ESEA section 1111(b)(2)(C) and 34 CFR § 200.5(b)(4)):</w:t>
            </w:r>
            <w:r w:rsidR="002F298D">
              <w:rPr>
                <w:noProof/>
                <w:webHidden/>
              </w:rPr>
              <w:tab/>
            </w:r>
            <w:r w:rsidR="002F298D">
              <w:rPr>
                <w:noProof/>
                <w:webHidden/>
              </w:rPr>
              <w:fldChar w:fldCharType="begin"/>
            </w:r>
            <w:r w:rsidR="002F298D">
              <w:rPr>
                <w:noProof/>
                <w:webHidden/>
              </w:rPr>
              <w:instrText xml:space="preserve"> PAGEREF _Toc6231621 \h </w:instrText>
            </w:r>
            <w:r w:rsidR="002F298D">
              <w:rPr>
                <w:noProof/>
                <w:webHidden/>
              </w:rPr>
            </w:r>
            <w:r w:rsidR="002F298D">
              <w:rPr>
                <w:noProof/>
                <w:webHidden/>
              </w:rPr>
              <w:fldChar w:fldCharType="separate"/>
            </w:r>
            <w:r w:rsidR="002F298D">
              <w:rPr>
                <w:noProof/>
                <w:webHidden/>
              </w:rPr>
              <w:t>6</w:t>
            </w:r>
            <w:r w:rsidR="002F298D">
              <w:rPr>
                <w:noProof/>
                <w:webHidden/>
              </w:rPr>
              <w:fldChar w:fldCharType="end"/>
            </w:r>
          </w:hyperlink>
        </w:p>
        <w:p w14:paraId="3B4ACF99" w14:textId="7FDA5850" w:rsidR="002F298D" w:rsidRDefault="00A12A18">
          <w:pPr>
            <w:pStyle w:val="TOC2"/>
            <w:tabs>
              <w:tab w:val="left" w:pos="660"/>
              <w:tab w:val="right" w:leader="dot" w:pos="9350"/>
            </w:tabs>
            <w:rPr>
              <w:rFonts w:eastAsiaTheme="minorEastAsia"/>
              <w:noProof/>
            </w:rPr>
          </w:pPr>
          <w:hyperlink w:anchor="_Toc6231622" w:history="1">
            <w:r w:rsidR="002F298D" w:rsidRPr="00B00877">
              <w:rPr>
                <w:rStyle w:val="Hyperlink"/>
                <w:noProof/>
              </w:rPr>
              <w:t>3.</w:t>
            </w:r>
            <w:r w:rsidR="002F298D">
              <w:rPr>
                <w:rFonts w:eastAsiaTheme="minorEastAsia"/>
                <w:noProof/>
              </w:rPr>
              <w:tab/>
            </w:r>
            <w:r w:rsidR="002F298D" w:rsidRPr="00B00877">
              <w:rPr>
                <w:rStyle w:val="Hyperlink"/>
                <w:noProof/>
              </w:rPr>
              <w:t>Native Language Assessments (ESEA section 1111(b)(2)(F) and 34 CFR § 200.6(f)(2)(ii)) and (f)(4):</w:t>
            </w:r>
            <w:r w:rsidR="002F298D">
              <w:rPr>
                <w:noProof/>
                <w:webHidden/>
              </w:rPr>
              <w:tab/>
            </w:r>
            <w:r w:rsidR="002F298D">
              <w:rPr>
                <w:noProof/>
                <w:webHidden/>
              </w:rPr>
              <w:fldChar w:fldCharType="begin"/>
            </w:r>
            <w:r w:rsidR="002F298D">
              <w:rPr>
                <w:noProof/>
                <w:webHidden/>
              </w:rPr>
              <w:instrText xml:space="preserve"> PAGEREF _Toc6231622 \h </w:instrText>
            </w:r>
            <w:r w:rsidR="002F298D">
              <w:rPr>
                <w:noProof/>
                <w:webHidden/>
              </w:rPr>
            </w:r>
            <w:r w:rsidR="002F298D">
              <w:rPr>
                <w:noProof/>
                <w:webHidden/>
              </w:rPr>
              <w:fldChar w:fldCharType="separate"/>
            </w:r>
            <w:r w:rsidR="002F298D">
              <w:rPr>
                <w:noProof/>
                <w:webHidden/>
              </w:rPr>
              <w:t>8</w:t>
            </w:r>
            <w:r w:rsidR="002F298D">
              <w:rPr>
                <w:noProof/>
                <w:webHidden/>
              </w:rPr>
              <w:fldChar w:fldCharType="end"/>
            </w:r>
          </w:hyperlink>
        </w:p>
        <w:p w14:paraId="400AEC2F" w14:textId="59DFCC9F" w:rsidR="002F298D" w:rsidRDefault="00A12A18">
          <w:pPr>
            <w:pStyle w:val="TOC2"/>
            <w:tabs>
              <w:tab w:val="left" w:pos="660"/>
              <w:tab w:val="right" w:leader="dot" w:pos="9350"/>
            </w:tabs>
            <w:rPr>
              <w:rFonts w:eastAsiaTheme="minorEastAsia"/>
              <w:noProof/>
            </w:rPr>
          </w:pPr>
          <w:hyperlink w:anchor="_Toc6231623" w:history="1">
            <w:r w:rsidR="002F298D" w:rsidRPr="00B00877">
              <w:rPr>
                <w:rStyle w:val="Hyperlink"/>
                <w:bCs/>
                <w:noProof/>
              </w:rPr>
              <w:t>4.</w:t>
            </w:r>
            <w:r w:rsidR="002F298D">
              <w:rPr>
                <w:rFonts w:eastAsiaTheme="minorEastAsia"/>
                <w:noProof/>
              </w:rPr>
              <w:tab/>
            </w:r>
            <w:r w:rsidR="002F298D" w:rsidRPr="00B00877">
              <w:rPr>
                <w:rStyle w:val="Hyperlink"/>
                <w:noProof/>
              </w:rPr>
              <w:t xml:space="preserve">Statewide Accountability System and School Support and Improvement Activities </w:t>
            </w:r>
            <w:r w:rsidR="002F298D" w:rsidRPr="00B00877">
              <w:rPr>
                <w:rStyle w:val="Hyperlink"/>
                <w:bCs/>
                <w:noProof/>
              </w:rPr>
              <w:t>(ESEA section 1111(c) and (d)):</w:t>
            </w:r>
            <w:r w:rsidR="002F298D">
              <w:rPr>
                <w:noProof/>
                <w:webHidden/>
              </w:rPr>
              <w:tab/>
            </w:r>
            <w:r w:rsidR="002F298D">
              <w:rPr>
                <w:noProof/>
                <w:webHidden/>
              </w:rPr>
              <w:fldChar w:fldCharType="begin"/>
            </w:r>
            <w:r w:rsidR="002F298D">
              <w:rPr>
                <w:noProof/>
                <w:webHidden/>
              </w:rPr>
              <w:instrText xml:space="preserve"> PAGEREF _Toc6231623 \h </w:instrText>
            </w:r>
            <w:r w:rsidR="002F298D">
              <w:rPr>
                <w:noProof/>
                <w:webHidden/>
              </w:rPr>
            </w:r>
            <w:r w:rsidR="002F298D">
              <w:rPr>
                <w:noProof/>
                <w:webHidden/>
              </w:rPr>
              <w:fldChar w:fldCharType="separate"/>
            </w:r>
            <w:r w:rsidR="002F298D">
              <w:rPr>
                <w:noProof/>
                <w:webHidden/>
              </w:rPr>
              <w:t>11</w:t>
            </w:r>
            <w:r w:rsidR="002F298D">
              <w:rPr>
                <w:noProof/>
                <w:webHidden/>
              </w:rPr>
              <w:fldChar w:fldCharType="end"/>
            </w:r>
          </w:hyperlink>
        </w:p>
        <w:p w14:paraId="7E13AB7A" w14:textId="3C38A6C8" w:rsidR="002F298D" w:rsidRDefault="00A12A18">
          <w:pPr>
            <w:pStyle w:val="TOC2"/>
            <w:tabs>
              <w:tab w:val="left" w:pos="660"/>
              <w:tab w:val="right" w:leader="dot" w:pos="9350"/>
            </w:tabs>
            <w:rPr>
              <w:rFonts w:eastAsiaTheme="minorEastAsia"/>
              <w:noProof/>
            </w:rPr>
          </w:pPr>
          <w:hyperlink w:anchor="_Toc6231624" w:history="1">
            <w:r w:rsidR="002F298D" w:rsidRPr="00B00877">
              <w:rPr>
                <w:rStyle w:val="Hyperlink"/>
                <w:noProof/>
              </w:rPr>
              <w:t>i.</w:t>
            </w:r>
            <w:r w:rsidR="002F298D">
              <w:rPr>
                <w:rFonts w:eastAsiaTheme="minorEastAsia"/>
                <w:noProof/>
              </w:rPr>
              <w:tab/>
            </w:r>
            <w:r w:rsidR="002F298D" w:rsidRPr="00B00877">
              <w:rPr>
                <w:rStyle w:val="Hyperlink"/>
                <w:noProof/>
              </w:rPr>
              <w:t xml:space="preserve">Subgroups </w:t>
            </w:r>
            <w:r w:rsidR="002F298D" w:rsidRPr="00B00877">
              <w:rPr>
                <w:rStyle w:val="Hyperlink"/>
                <w:bCs/>
                <w:noProof/>
              </w:rPr>
              <w:t>(ESEA section 1111(c)(2)):</w:t>
            </w:r>
            <w:r w:rsidR="002F298D">
              <w:rPr>
                <w:noProof/>
                <w:webHidden/>
              </w:rPr>
              <w:tab/>
            </w:r>
            <w:r w:rsidR="002F298D">
              <w:rPr>
                <w:noProof/>
                <w:webHidden/>
              </w:rPr>
              <w:fldChar w:fldCharType="begin"/>
            </w:r>
            <w:r w:rsidR="002F298D">
              <w:rPr>
                <w:noProof/>
                <w:webHidden/>
              </w:rPr>
              <w:instrText xml:space="preserve"> PAGEREF _Toc6231624 \h </w:instrText>
            </w:r>
            <w:r w:rsidR="002F298D">
              <w:rPr>
                <w:noProof/>
                <w:webHidden/>
              </w:rPr>
            </w:r>
            <w:r w:rsidR="002F298D">
              <w:rPr>
                <w:noProof/>
                <w:webHidden/>
              </w:rPr>
              <w:fldChar w:fldCharType="separate"/>
            </w:r>
            <w:r w:rsidR="002F298D">
              <w:rPr>
                <w:noProof/>
                <w:webHidden/>
              </w:rPr>
              <w:t>11</w:t>
            </w:r>
            <w:r w:rsidR="002F298D">
              <w:rPr>
                <w:noProof/>
                <w:webHidden/>
              </w:rPr>
              <w:fldChar w:fldCharType="end"/>
            </w:r>
          </w:hyperlink>
        </w:p>
        <w:p w14:paraId="53A65072" w14:textId="45D5E6AA" w:rsidR="002F298D" w:rsidRDefault="00A12A18">
          <w:pPr>
            <w:pStyle w:val="TOC2"/>
            <w:tabs>
              <w:tab w:val="left" w:pos="660"/>
              <w:tab w:val="right" w:leader="dot" w:pos="9350"/>
            </w:tabs>
            <w:rPr>
              <w:rFonts w:eastAsiaTheme="minorEastAsia"/>
              <w:noProof/>
            </w:rPr>
          </w:pPr>
          <w:hyperlink w:anchor="_Toc6231625" w:history="1">
            <w:r w:rsidR="002F298D" w:rsidRPr="00B00877">
              <w:rPr>
                <w:rStyle w:val="Hyperlink"/>
                <w:noProof/>
              </w:rPr>
              <w:t>ii.</w:t>
            </w:r>
            <w:r w:rsidR="002F298D">
              <w:rPr>
                <w:rFonts w:eastAsiaTheme="minorEastAsia"/>
                <w:noProof/>
              </w:rPr>
              <w:tab/>
            </w:r>
            <w:r w:rsidR="002F298D" w:rsidRPr="00B00877">
              <w:rPr>
                <w:rStyle w:val="Hyperlink"/>
                <w:noProof/>
              </w:rPr>
              <w:t>Minimum N-Size</w:t>
            </w:r>
            <w:r w:rsidR="002F298D">
              <w:rPr>
                <w:noProof/>
                <w:webHidden/>
              </w:rPr>
              <w:tab/>
            </w:r>
            <w:r w:rsidR="002F298D">
              <w:rPr>
                <w:noProof/>
                <w:webHidden/>
              </w:rPr>
              <w:fldChar w:fldCharType="begin"/>
            </w:r>
            <w:r w:rsidR="002F298D">
              <w:rPr>
                <w:noProof/>
                <w:webHidden/>
              </w:rPr>
              <w:instrText xml:space="preserve"> PAGEREF _Toc6231625 \h </w:instrText>
            </w:r>
            <w:r w:rsidR="002F298D">
              <w:rPr>
                <w:noProof/>
                <w:webHidden/>
              </w:rPr>
            </w:r>
            <w:r w:rsidR="002F298D">
              <w:rPr>
                <w:noProof/>
                <w:webHidden/>
              </w:rPr>
              <w:fldChar w:fldCharType="separate"/>
            </w:r>
            <w:r w:rsidR="002F298D">
              <w:rPr>
                <w:noProof/>
                <w:webHidden/>
              </w:rPr>
              <w:t>12</w:t>
            </w:r>
            <w:r w:rsidR="002F298D">
              <w:rPr>
                <w:noProof/>
                <w:webHidden/>
              </w:rPr>
              <w:fldChar w:fldCharType="end"/>
            </w:r>
          </w:hyperlink>
        </w:p>
        <w:p w14:paraId="2E68F943" w14:textId="72E00A70" w:rsidR="002F298D" w:rsidRDefault="00A12A18">
          <w:pPr>
            <w:pStyle w:val="TOC2"/>
            <w:tabs>
              <w:tab w:val="left" w:pos="660"/>
              <w:tab w:val="right" w:leader="dot" w:pos="9350"/>
            </w:tabs>
            <w:rPr>
              <w:rFonts w:eastAsiaTheme="minorEastAsia"/>
              <w:noProof/>
            </w:rPr>
          </w:pPr>
          <w:hyperlink w:anchor="_Toc6231626" w:history="1">
            <w:r w:rsidR="002F298D" w:rsidRPr="00B00877">
              <w:rPr>
                <w:rStyle w:val="Hyperlink"/>
                <w:rFonts w:ascii="Calibri" w:hAnsi="Calibri"/>
                <w:noProof/>
              </w:rPr>
              <w:t>iii.</w:t>
            </w:r>
            <w:r w:rsidR="002F298D">
              <w:rPr>
                <w:rFonts w:eastAsiaTheme="minorEastAsia"/>
                <w:noProof/>
              </w:rPr>
              <w:tab/>
            </w:r>
            <w:r w:rsidR="002F298D" w:rsidRPr="00B00877">
              <w:rPr>
                <w:rStyle w:val="Hyperlink"/>
                <w:noProof/>
              </w:rPr>
              <w:t>Establishment of Long-Term Goals</w:t>
            </w:r>
            <w:r w:rsidR="002F298D" w:rsidRPr="00B00877">
              <w:rPr>
                <w:rStyle w:val="Hyperlink"/>
                <w:rFonts w:ascii="Calibri" w:hAnsi="Calibri"/>
                <w:noProof/>
              </w:rPr>
              <w:t xml:space="preserve"> </w:t>
            </w:r>
            <w:r w:rsidR="002F298D" w:rsidRPr="00B00877">
              <w:rPr>
                <w:rStyle w:val="Hyperlink"/>
                <w:rFonts w:ascii="Calibri" w:hAnsi="Calibri"/>
                <w:i/>
                <w:iCs/>
                <w:noProof/>
              </w:rPr>
              <w:t>(ESEA section 1111(c)(4)(A))</w:t>
            </w:r>
            <w:r w:rsidR="002F298D" w:rsidRPr="00B00877">
              <w:rPr>
                <w:rStyle w:val="Hyperlink"/>
                <w:rFonts w:ascii="Calibri" w:hAnsi="Calibri"/>
                <w:noProof/>
              </w:rPr>
              <w:t>:</w:t>
            </w:r>
            <w:r w:rsidR="002F298D">
              <w:rPr>
                <w:noProof/>
                <w:webHidden/>
              </w:rPr>
              <w:tab/>
            </w:r>
            <w:r w:rsidR="002F298D">
              <w:rPr>
                <w:noProof/>
                <w:webHidden/>
              </w:rPr>
              <w:fldChar w:fldCharType="begin"/>
            </w:r>
            <w:r w:rsidR="002F298D">
              <w:rPr>
                <w:noProof/>
                <w:webHidden/>
              </w:rPr>
              <w:instrText xml:space="preserve"> PAGEREF _Toc6231626 \h </w:instrText>
            </w:r>
            <w:r w:rsidR="002F298D">
              <w:rPr>
                <w:noProof/>
                <w:webHidden/>
              </w:rPr>
            </w:r>
            <w:r w:rsidR="002F298D">
              <w:rPr>
                <w:noProof/>
                <w:webHidden/>
              </w:rPr>
              <w:fldChar w:fldCharType="separate"/>
            </w:r>
            <w:r w:rsidR="002F298D">
              <w:rPr>
                <w:noProof/>
                <w:webHidden/>
              </w:rPr>
              <w:t>15</w:t>
            </w:r>
            <w:r w:rsidR="002F298D">
              <w:rPr>
                <w:noProof/>
                <w:webHidden/>
              </w:rPr>
              <w:fldChar w:fldCharType="end"/>
            </w:r>
          </w:hyperlink>
        </w:p>
        <w:p w14:paraId="0C2F3CA2" w14:textId="52DD636A" w:rsidR="002F298D" w:rsidRDefault="00A12A18">
          <w:pPr>
            <w:pStyle w:val="TOC1"/>
            <w:tabs>
              <w:tab w:val="right" w:leader="dot" w:pos="9350"/>
            </w:tabs>
            <w:rPr>
              <w:rFonts w:eastAsiaTheme="minorEastAsia"/>
              <w:noProof/>
            </w:rPr>
          </w:pPr>
          <w:hyperlink w:anchor="_Toc6231627" w:history="1">
            <w:r w:rsidR="002F298D" w:rsidRPr="00B00877">
              <w:rPr>
                <w:rStyle w:val="Hyperlink"/>
                <w:noProof/>
              </w:rPr>
              <w:t>B. Title I, Part C: Education of Migratory Children</w:t>
            </w:r>
            <w:r w:rsidR="002F298D">
              <w:rPr>
                <w:noProof/>
                <w:webHidden/>
              </w:rPr>
              <w:tab/>
            </w:r>
            <w:r w:rsidR="002F298D">
              <w:rPr>
                <w:noProof/>
                <w:webHidden/>
              </w:rPr>
              <w:fldChar w:fldCharType="begin"/>
            </w:r>
            <w:r w:rsidR="002F298D">
              <w:rPr>
                <w:noProof/>
                <w:webHidden/>
              </w:rPr>
              <w:instrText xml:space="preserve"> PAGEREF _Toc6231627 \h </w:instrText>
            </w:r>
            <w:r w:rsidR="002F298D">
              <w:rPr>
                <w:noProof/>
                <w:webHidden/>
              </w:rPr>
            </w:r>
            <w:r w:rsidR="002F298D">
              <w:rPr>
                <w:noProof/>
                <w:webHidden/>
              </w:rPr>
              <w:fldChar w:fldCharType="separate"/>
            </w:r>
            <w:r w:rsidR="002F298D">
              <w:rPr>
                <w:noProof/>
                <w:webHidden/>
              </w:rPr>
              <w:t>65</w:t>
            </w:r>
            <w:r w:rsidR="002F298D">
              <w:rPr>
                <w:noProof/>
                <w:webHidden/>
              </w:rPr>
              <w:fldChar w:fldCharType="end"/>
            </w:r>
          </w:hyperlink>
        </w:p>
        <w:p w14:paraId="0B35DCA9" w14:textId="008B64B8" w:rsidR="002F298D" w:rsidRDefault="00A12A18">
          <w:pPr>
            <w:pStyle w:val="TOC1"/>
            <w:tabs>
              <w:tab w:val="right" w:leader="dot" w:pos="9350"/>
            </w:tabs>
            <w:rPr>
              <w:rFonts w:eastAsiaTheme="minorEastAsia"/>
              <w:noProof/>
            </w:rPr>
          </w:pPr>
          <w:hyperlink w:anchor="_Toc6231628" w:history="1">
            <w:r w:rsidR="002F298D" w:rsidRPr="00B00877">
              <w:rPr>
                <w:rStyle w:val="Hyperlink"/>
                <w:noProof/>
              </w:rPr>
              <w:t>C. Title I, Part D: Prevention and Intervention Programs for Children and Youth who are Neglected, Delinquent, or At-Risk</w:t>
            </w:r>
            <w:r w:rsidR="002F298D">
              <w:rPr>
                <w:noProof/>
                <w:webHidden/>
              </w:rPr>
              <w:tab/>
            </w:r>
            <w:r w:rsidR="002F298D">
              <w:rPr>
                <w:noProof/>
                <w:webHidden/>
              </w:rPr>
              <w:fldChar w:fldCharType="begin"/>
            </w:r>
            <w:r w:rsidR="002F298D">
              <w:rPr>
                <w:noProof/>
                <w:webHidden/>
              </w:rPr>
              <w:instrText xml:space="preserve"> PAGEREF _Toc6231628 \h </w:instrText>
            </w:r>
            <w:r w:rsidR="002F298D">
              <w:rPr>
                <w:noProof/>
                <w:webHidden/>
              </w:rPr>
            </w:r>
            <w:r w:rsidR="002F298D">
              <w:rPr>
                <w:noProof/>
                <w:webHidden/>
              </w:rPr>
              <w:fldChar w:fldCharType="separate"/>
            </w:r>
            <w:r w:rsidR="002F298D">
              <w:rPr>
                <w:noProof/>
                <w:webHidden/>
              </w:rPr>
              <w:t>71</w:t>
            </w:r>
            <w:r w:rsidR="002F298D">
              <w:rPr>
                <w:noProof/>
                <w:webHidden/>
              </w:rPr>
              <w:fldChar w:fldCharType="end"/>
            </w:r>
          </w:hyperlink>
        </w:p>
        <w:p w14:paraId="2C5EEFA6" w14:textId="4F827BA1" w:rsidR="002F298D" w:rsidRDefault="00A12A18">
          <w:pPr>
            <w:pStyle w:val="TOC1"/>
            <w:tabs>
              <w:tab w:val="right" w:leader="dot" w:pos="9350"/>
            </w:tabs>
            <w:rPr>
              <w:rFonts w:eastAsiaTheme="minorEastAsia"/>
              <w:noProof/>
            </w:rPr>
          </w:pPr>
          <w:hyperlink w:anchor="_Toc6231629" w:history="1">
            <w:r w:rsidR="002F298D" w:rsidRPr="00B00877">
              <w:rPr>
                <w:rStyle w:val="Hyperlink"/>
                <w:noProof/>
              </w:rPr>
              <w:t>D. Title II, Part A: Supporting Effective Instruction</w:t>
            </w:r>
            <w:r w:rsidR="002F298D">
              <w:rPr>
                <w:noProof/>
                <w:webHidden/>
              </w:rPr>
              <w:tab/>
            </w:r>
            <w:r w:rsidR="002F298D">
              <w:rPr>
                <w:noProof/>
                <w:webHidden/>
              </w:rPr>
              <w:fldChar w:fldCharType="begin"/>
            </w:r>
            <w:r w:rsidR="002F298D">
              <w:rPr>
                <w:noProof/>
                <w:webHidden/>
              </w:rPr>
              <w:instrText xml:space="preserve"> PAGEREF _Toc6231629 \h </w:instrText>
            </w:r>
            <w:r w:rsidR="002F298D">
              <w:rPr>
                <w:noProof/>
                <w:webHidden/>
              </w:rPr>
            </w:r>
            <w:r w:rsidR="002F298D">
              <w:rPr>
                <w:noProof/>
                <w:webHidden/>
              </w:rPr>
              <w:fldChar w:fldCharType="separate"/>
            </w:r>
            <w:r w:rsidR="002F298D">
              <w:rPr>
                <w:noProof/>
                <w:webHidden/>
              </w:rPr>
              <w:t>73</w:t>
            </w:r>
            <w:r w:rsidR="002F298D">
              <w:rPr>
                <w:noProof/>
                <w:webHidden/>
              </w:rPr>
              <w:fldChar w:fldCharType="end"/>
            </w:r>
          </w:hyperlink>
        </w:p>
        <w:p w14:paraId="511C8C3E" w14:textId="38F17870" w:rsidR="002F298D" w:rsidRDefault="00A12A18">
          <w:pPr>
            <w:pStyle w:val="TOC1"/>
            <w:tabs>
              <w:tab w:val="right" w:leader="dot" w:pos="9350"/>
            </w:tabs>
            <w:rPr>
              <w:rFonts w:eastAsiaTheme="minorEastAsia"/>
              <w:noProof/>
            </w:rPr>
          </w:pPr>
          <w:hyperlink w:anchor="_Toc6231630" w:history="1">
            <w:r w:rsidR="002F298D" w:rsidRPr="00B00877">
              <w:rPr>
                <w:rStyle w:val="Hyperlink"/>
                <w:noProof/>
              </w:rPr>
              <w:t>E. Title III, Part A, Subpart 1, English Language Acquisition and Language Enhancement</w:t>
            </w:r>
            <w:r w:rsidR="002F298D">
              <w:rPr>
                <w:noProof/>
                <w:webHidden/>
              </w:rPr>
              <w:tab/>
            </w:r>
            <w:r w:rsidR="002F298D">
              <w:rPr>
                <w:noProof/>
                <w:webHidden/>
              </w:rPr>
              <w:fldChar w:fldCharType="begin"/>
            </w:r>
            <w:r w:rsidR="002F298D">
              <w:rPr>
                <w:noProof/>
                <w:webHidden/>
              </w:rPr>
              <w:instrText xml:space="preserve"> PAGEREF _Toc6231630 \h </w:instrText>
            </w:r>
            <w:r w:rsidR="002F298D">
              <w:rPr>
                <w:noProof/>
                <w:webHidden/>
              </w:rPr>
            </w:r>
            <w:r w:rsidR="002F298D">
              <w:rPr>
                <w:noProof/>
                <w:webHidden/>
              </w:rPr>
              <w:fldChar w:fldCharType="separate"/>
            </w:r>
            <w:r w:rsidR="002F298D">
              <w:rPr>
                <w:noProof/>
                <w:webHidden/>
              </w:rPr>
              <w:t>81</w:t>
            </w:r>
            <w:r w:rsidR="002F298D">
              <w:rPr>
                <w:noProof/>
                <w:webHidden/>
              </w:rPr>
              <w:fldChar w:fldCharType="end"/>
            </w:r>
          </w:hyperlink>
        </w:p>
        <w:p w14:paraId="4F3D17AA" w14:textId="2045CC62" w:rsidR="002F298D" w:rsidRDefault="00A12A18">
          <w:pPr>
            <w:pStyle w:val="TOC1"/>
            <w:tabs>
              <w:tab w:val="right" w:leader="dot" w:pos="9350"/>
            </w:tabs>
            <w:rPr>
              <w:rFonts w:eastAsiaTheme="minorEastAsia"/>
              <w:noProof/>
            </w:rPr>
          </w:pPr>
          <w:hyperlink w:anchor="_Toc6231631" w:history="1">
            <w:r w:rsidR="002F298D" w:rsidRPr="00B00877">
              <w:rPr>
                <w:rStyle w:val="Hyperlink"/>
                <w:noProof/>
              </w:rPr>
              <w:t>F. Title IV, Part A: Student Support and Academic Enrichment Grants</w:t>
            </w:r>
            <w:r w:rsidR="002F298D">
              <w:rPr>
                <w:noProof/>
                <w:webHidden/>
              </w:rPr>
              <w:tab/>
            </w:r>
            <w:r w:rsidR="002F298D">
              <w:rPr>
                <w:noProof/>
                <w:webHidden/>
              </w:rPr>
              <w:fldChar w:fldCharType="begin"/>
            </w:r>
            <w:r w:rsidR="002F298D">
              <w:rPr>
                <w:noProof/>
                <w:webHidden/>
              </w:rPr>
              <w:instrText xml:space="preserve"> PAGEREF _Toc6231631 \h </w:instrText>
            </w:r>
            <w:r w:rsidR="002F298D">
              <w:rPr>
                <w:noProof/>
                <w:webHidden/>
              </w:rPr>
            </w:r>
            <w:r w:rsidR="002F298D">
              <w:rPr>
                <w:noProof/>
                <w:webHidden/>
              </w:rPr>
              <w:fldChar w:fldCharType="separate"/>
            </w:r>
            <w:r w:rsidR="002F298D">
              <w:rPr>
                <w:noProof/>
                <w:webHidden/>
              </w:rPr>
              <w:t>85</w:t>
            </w:r>
            <w:r w:rsidR="002F298D">
              <w:rPr>
                <w:noProof/>
                <w:webHidden/>
              </w:rPr>
              <w:fldChar w:fldCharType="end"/>
            </w:r>
          </w:hyperlink>
        </w:p>
        <w:p w14:paraId="75C1B93C" w14:textId="3487A0A1" w:rsidR="002F298D" w:rsidRDefault="00A12A18">
          <w:pPr>
            <w:pStyle w:val="TOC1"/>
            <w:tabs>
              <w:tab w:val="right" w:leader="dot" w:pos="9350"/>
            </w:tabs>
            <w:rPr>
              <w:rFonts w:eastAsiaTheme="minorEastAsia"/>
              <w:noProof/>
            </w:rPr>
          </w:pPr>
          <w:hyperlink w:anchor="_Toc6231632" w:history="1">
            <w:r w:rsidR="002F298D" w:rsidRPr="00B00877">
              <w:rPr>
                <w:rStyle w:val="Hyperlink"/>
                <w:noProof/>
              </w:rPr>
              <w:t>G. Title IV, Part B: 21</w:t>
            </w:r>
            <w:r w:rsidR="002F298D" w:rsidRPr="00B00877">
              <w:rPr>
                <w:rStyle w:val="Hyperlink"/>
                <w:noProof/>
                <w:vertAlign w:val="superscript"/>
              </w:rPr>
              <w:t>st</w:t>
            </w:r>
            <w:r w:rsidR="002F298D" w:rsidRPr="00B00877">
              <w:rPr>
                <w:rStyle w:val="Hyperlink"/>
                <w:noProof/>
              </w:rPr>
              <w:t xml:space="preserve"> Century Community Learning Centers</w:t>
            </w:r>
            <w:r w:rsidR="002F298D">
              <w:rPr>
                <w:noProof/>
                <w:webHidden/>
              </w:rPr>
              <w:tab/>
            </w:r>
            <w:r w:rsidR="002F298D">
              <w:rPr>
                <w:noProof/>
                <w:webHidden/>
              </w:rPr>
              <w:fldChar w:fldCharType="begin"/>
            </w:r>
            <w:r w:rsidR="002F298D">
              <w:rPr>
                <w:noProof/>
                <w:webHidden/>
              </w:rPr>
              <w:instrText xml:space="preserve"> PAGEREF _Toc6231632 \h </w:instrText>
            </w:r>
            <w:r w:rsidR="002F298D">
              <w:rPr>
                <w:noProof/>
                <w:webHidden/>
              </w:rPr>
            </w:r>
            <w:r w:rsidR="002F298D">
              <w:rPr>
                <w:noProof/>
                <w:webHidden/>
              </w:rPr>
              <w:fldChar w:fldCharType="separate"/>
            </w:r>
            <w:r w:rsidR="002F298D">
              <w:rPr>
                <w:noProof/>
                <w:webHidden/>
              </w:rPr>
              <w:t>87</w:t>
            </w:r>
            <w:r w:rsidR="002F298D">
              <w:rPr>
                <w:noProof/>
                <w:webHidden/>
              </w:rPr>
              <w:fldChar w:fldCharType="end"/>
            </w:r>
          </w:hyperlink>
        </w:p>
        <w:p w14:paraId="23EC22E4" w14:textId="61344AC5" w:rsidR="002F298D" w:rsidRDefault="00A12A18">
          <w:pPr>
            <w:pStyle w:val="TOC1"/>
            <w:tabs>
              <w:tab w:val="right" w:leader="dot" w:pos="9350"/>
            </w:tabs>
            <w:rPr>
              <w:rFonts w:eastAsiaTheme="minorEastAsia"/>
              <w:noProof/>
            </w:rPr>
          </w:pPr>
          <w:hyperlink w:anchor="_Toc6231633" w:history="1">
            <w:r w:rsidR="002F298D" w:rsidRPr="00B00877">
              <w:rPr>
                <w:rStyle w:val="Hyperlink"/>
                <w:noProof/>
              </w:rPr>
              <w:t>H. Title V, Part B, Subpart 2: Rural and Low-Income School Program</w:t>
            </w:r>
            <w:r w:rsidR="002F298D">
              <w:rPr>
                <w:noProof/>
                <w:webHidden/>
              </w:rPr>
              <w:tab/>
            </w:r>
            <w:r w:rsidR="002F298D">
              <w:rPr>
                <w:noProof/>
                <w:webHidden/>
              </w:rPr>
              <w:fldChar w:fldCharType="begin"/>
            </w:r>
            <w:r w:rsidR="002F298D">
              <w:rPr>
                <w:noProof/>
                <w:webHidden/>
              </w:rPr>
              <w:instrText xml:space="preserve"> PAGEREF _Toc6231633 \h </w:instrText>
            </w:r>
            <w:r w:rsidR="002F298D">
              <w:rPr>
                <w:noProof/>
                <w:webHidden/>
              </w:rPr>
            </w:r>
            <w:r w:rsidR="002F298D">
              <w:rPr>
                <w:noProof/>
                <w:webHidden/>
              </w:rPr>
              <w:fldChar w:fldCharType="separate"/>
            </w:r>
            <w:r w:rsidR="002F298D">
              <w:rPr>
                <w:noProof/>
                <w:webHidden/>
              </w:rPr>
              <w:t>90</w:t>
            </w:r>
            <w:r w:rsidR="002F298D">
              <w:rPr>
                <w:noProof/>
                <w:webHidden/>
              </w:rPr>
              <w:fldChar w:fldCharType="end"/>
            </w:r>
          </w:hyperlink>
        </w:p>
        <w:p w14:paraId="3503547A" w14:textId="4EB9058D" w:rsidR="002F298D" w:rsidRDefault="00A12A18">
          <w:pPr>
            <w:pStyle w:val="TOC1"/>
            <w:tabs>
              <w:tab w:val="left" w:pos="440"/>
              <w:tab w:val="right" w:leader="dot" w:pos="9350"/>
            </w:tabs>
            <w:rPr>
              <w:rFonts w:eastAsiaTheme="minorEastAsia"/>
              <w:noProof/>
            </w:rPr>
          </w:pPr>
          <w:hyperlink w:anchor="_Toc6231634" w:history="1">
            <w:r w:rsidR="002F298D" w:rsidRPr="00B00877">
              <w:rPr>
                <w:rStyle w:val="Hyperlink"/>
                <w:noProof/>
              </w:rPr>
              <w:t>I.</w:t>
            </w:r>
            <w:r w:rsidR="002F298D">
              <w:rPr>
                <w:rFonts w:eastAsiaTheme="minorEastAsia"/>
                <w:noProof/>
              </w:rPr>
              <w:t xml:space="preserve"> </w:t>
            </w:r>
            <w:r w:rsidR="002F298D" w:rsidRPr="00B00877">
              <w:rPr>
                <w:rStyle w:val="Hyperlink"/>
                <w:noProof/>
              </w:rPr>
              <w:t>Education for Homeless Children and Youth program, McKinney-Vento Homeless Assistance Act, Title VII, Subtitle B</w:t>
            </w:r>
            <w:r w:rsidR="002F298D">
              <w:rPr>
                <w:noProof/>
                <w:webHidden/>
              </w:rPr>
              <w:tab/>
            </w:r>
            <w:r w:rsidR="002F298D">
              <w:rPr>
                <w:noProof/>
                <w:webHidden/>
              </w:rPr>
              <w:fldChar w:fldCharType="begin"/>
            </w:r>
            <w:r w:rsidR="002F298D">
              <w:rPr>
                <w:noProof/>
                <w:webHidden/>
              </w:rPr>
              <w:instrText xml:space="preserve"> PAGEREF _Toc6231634 \h </w:instrText>
            </w:r>
            <w:r w:rsidR="002F298D">
              <w:rPr>
                <w:noProof/>
                <w:webHidden/>
              </w:rPr>
            </w:r>
            <w:r w:rsidR="002F298D">
              <w:rPr>
                <w:noProof/>
                <w:webHidden/>
              </w:rPr>
              <w:fldChar w:fldCharType="separate"/>
            </w:r>
            <w:r w:rsidR="002F298D">
              <w:rPr>
                <w:noProof/>
                <w:webHidden/>
              </w:rPr>
              <w:t>91</w:t>
            </w:r>
            <w:r w:rsidR="002F298D">
              <w:rPr>
                <w:noProof/>
                <w:webHidden/>
              </w:rPr>
              <w:fldChar w:fldCharType="end"/>
            </w:r>
          </w:hyperlink>
        </w:p>
        <w:p w14:paraId="5BCCA961" w14:textId="69953E79" w:rsidR="002F298D" w:rsidRDefault="00A12A18">
          <w:pPr>
            <w:pStyle w:val="TOC1"/>
            <w:tabs>
              <w:tab w:val="right" w:leader="dot" w:pos="9350"/>
            </w:tabs>
            <w:rPr>
              <w:rFonts w:eastAsiaTheme="minorEastAsia"/>
              <w:noProof/>
            </w:rPr>
          </w:pPr>
          <w:hyperlink w:anchor="_Toc6231635" w:history="1">
            <w:r w:rsidR="002F298D" w:rsidRPr="00B00877">
              <w:rPr>
                <w:rStyle w:val="Hyperlink"/>
                <w:noProof/>
              </w:rPr>
              <w:t>Appendix A: Measures of interim progress</w:t>
            </w:r>
            <w:r w:rsidR="002F298D">
              <w:rPr>
                <w:noProof/>
                <w:webHidden/>
              </w:rPr>
              <w:tab/>
            </w:r>
            <w:r w:rsidR="002F298D">
              <w:rPr>
                <w:noProof/>
                <w:webHidden/>
              </w:rPr>
              <w:fldChar w:fldCharType="begin"/>
            </w:r>
            <w:r w:rsidR="002F298D">
              <w:rPr>
                <w:noProof/>
                <w:webHidden/>
              </w:rPr>
              <w:instrText xml:space="preserve"> PAGEREF _Toc6231635 \h </w:instrText>
            </w:r>
            <w:r w:rsidR="002F298D">
              <w:rPr>
                <w:noProof/>
                <w:webHidden/>
              </w:rPr>
            </w:r>
            <w:r w:rsidR="002F298D">
              <w:rPr>
                <w:noProof/>
                <w:webHidden/>
              </w:rPr>
              <w:fldChar w:fldCharType="separate"/>
            </w:r>
            <w:r w:rsidR="002F298D">
              <w:rPr>
                <w:noProof/>
                <w:webHidden/>
              </w:rPr>
              <w:t>99</w:t>
            </w:r>
            <w:r w:rsidR="002F298D">
              <w:rPr>
                <w:noProof/>
                <w:webHidden/>
              </w:rPr>
              <w:fldChar w:fldCharType="end"/>
            </w:r>
          </w:hyperlink>
        </w:p>
        <w:p w14:paraId="558ADF01" w14:textId="55965283" w:rsidR="002F298D" w:rsidRDefault="00A12A18">
          <w:pPr>
            <w:pStyle w:val="TOC1"/>
            <w:tabs>
              <w:tab w:val="right" w:leader="dot" w:pos="9350"/>
            </w:tabs>
            <w:rPr>
              <w:rFonts w:eastAsiaTheme="minorEastAsia"/>
              <w:noProof/>
            </w:rPr>
          </w:pPr>
          <w:hyperlink w:anchor="_Toc6231636" w:history="1">
            <w:r w:rsidR="002F298D" w:rsidRPr="00B00877">
              <w:rPr>
                <w:rStyle w:val="Hyperlink"/>
                <w:noProof/>
              </w:rPr>
              <w:t>Appendix B: Section 427 of the General Education Provisions Act (GEPA)</w:t>
            </w:r>
            <w:r w:rsidR="002F298D">
              <w:rPr>
                <w:noProof/>
                <w:webHidden/>
              </w:rPr>
              <w:tab/>
            </w:r>
            <w:r w:rsidR="002F298D">
              <w:rPr>
                <w:noProof/>
                <w:webHidden/>
              </w:rPr>
              <w:fldChar w:fldCharType="begin"/>
            </w:r>
            <w:r w:rsidR="002F298D">
              <w:rPr>
                <w:noProof/>
                <w:webHidden/>
              </w:rPr>
              <w:instrText xml:space="preserve"> PAGEREF _Toc6231636 \h </w:instrText>
            </w:r>
            <w:r w:rsidR="002F298D">
              <w:rPr>
                <w:noProof/>
                <w:webHidden/>
              </w:rPr>
            </w:r>
            <w:r w:rsidR="002F298D">
              <w:rPr>
                <w:noProof/>
                <w:webHidden/>
              </w:rPr>
              <w:fldChar w:fldCharType="separate"/>
            </w:r>
            <w:r w:rsidR="002F298D">
              <w:rPr>
                <w:noProof/>
                <w:webHidden/>
              </w:rPr>
              <w:t>101</w:t>
            </w:r>
            <w:r w:rsidR="002F298D">
              <w:rPr>
                <w:noProof/>
                <w:webHidden/>
              </w:rPr>
              <w:fldChar w:fldCharType="end"/>
            </w:r>
          </w:hyperlink>
        </w:p>
        <w:p w14:paraId="4087AF80" w14:textId="0277BEAF" w:rsidR="0064319B" w:rsidRDefault="0064319B">
          <w:r>
            <w:rPr>
              <w:b/>
              <w:bCs/>
              <w:noProof/>
            </w:rPr>
            <w:fldChar w:fldCharType="end"/>
          </w:r>
        </w:p>
      </w:sdtContent>
    </w:sdt>
    <w:p w14:paraId="52082A04" w14:textId="77777777" w:rsidR="00712594" w:rsidRDefault="00712594" w:rsidP="00EE459E">
      <w:pPr>
        <w:sectPr w:rsidR="00712594" w:rsidSect="005017F4">
          <w:headerReference w:type="default" r:id="rId14"/>
          <w:footerReference w:type="default" r:id="rId15"/>
          <w:pgSz w:w="12240" w:h="15840"/>
          <w:pgMar w:top="1440" w:right="1440" w:bottom="1440" w:left="1440" w:header="432" w:footer="432" w:gutter="0"/>
          <w:pgNumType w:start="1"/>
          <w:cols w:space="720"/>
          <w:docGrid w:linePitch="360"/>
        </w:sectPr>
      </w:pPr>
    </w:p>
    <w:p w14:paraId="1E40B751" w14:textId="77777777" w:rsidR="00927AEF" w:rsidRPr="006E69A5" w:rsidRDefault="00EE459E" w:rsidP="00927AEF">
      <w:pPr>
        <w:pStyle w:val="Heading1"/>
      </w:pPr>
      <w:bookmarkStart w:id="1" w:name="_Toc6231618"/>
      <w:r w:rsidRPr="006E69A5">
        <w:lastRenderedPageBreak/>
        <w:t>Introduction</w:t>
      </w:r>
      <w:bookmarkEnd w:id="1"/>
    </w:p>
    <w:p w14:paraId="42F67268" w14:textId="6C21CBC5" w:rsidR="001637FC" w:rsidRPr="00DB3869" w:rsidRDefault="001637FC" w:rsidP="001637FC">
      <w:pPr>
        <w:autoSpaceDE w:val="0"/>
        <w:autoSpaceDN w:val="0"/>
        <w:adjustRightInd w:val="0"/>
        <w:spacing w:after="0" w:line="240" w:lineRule="auto"/>
        <w:rPr>
          <w:rFonts w:ascii="Calibri" w:hAnsi="Calibri" w:cs="Times New Roman"/>
          <w:color w:val="000000"/>
        </w:rPr>
      </w:pPr>
      <w:r w:rsidRPr="00DB0D98">
        <w:rPr>
          <w:rFonts w:ascii="Calibri" w:hAnsi="Calibri" w:cs="Times New Roman"/>
          <w:color w:val="000000"/>
        </w:rPr>
        <w:t xml:space="preserve">The Alaska Department of Education and Early Development (DEED) is pleased to provide </w:t>
      </w:r>
      <w:r w:rsidRPr="00BA73F7">
        <w:rPr>
          <w:rFonts w:ascii="Calibri" w:hAnsi="Calibri" w:cs="Times New Roman"/>
          <w:color w:val="000000"/>
        </w:rPr>
        <w:t xml:space="preserve">its Consolidated </w:t>
      </w:r>
      <w:r w:rsidR="001607A4">
        <w:rPr>
          <w:rFonts w:ascii="Calibri" w:hAnsi="Calibri" w:cs="Times New Roman"/>
          <w:color w:val="000000"/>
        </w:rPr>
        <w:t xml:space="preserve">State </w:t>
      </w:r>
      <w:r w:rsidRPr="00BA73F7">
        <w:rPr>
          <w:rFonts w:ascii="Calibri" w:hAnsi="Calibri" w:cs="Times New Roman"/>
          <w:color w:val="000000"/>
        </w:rPr>
        <w:t xml:space="preserve">Plan for the Every Student Succeeds Act (ESSA). </w:t>
      </w:r>
      <w:r w:rsidRPr="00DB3869">
        <w:rPr>
          <w:rFonts w:ascii="Calibri" w:hAnsi="Calibri" w:cs="Times New Roman"/>
          <w:color w:val="000000"/>
        </w:rPr>
        <w:t xml:space="preserve">ESSA was signed into federal law on December 10, 2015, replacing the No Child Left </w:t>
      </w:r>
      <w:proofErr w:type="gramStart"/>
      <w:r w:rsidRPr="00DB3869">
        <w:rPr>
          <w:rFonts w:ascii="Calibri" w:hAnsi="Calibri" w:cs="Times New Roman"/>
          <w:color w:val="000000"/>
        </w:rPr>
        <w:t>Behind</w:t>
      </w:r>
      <w:proofErr w:type="gramEnd"/>
      <w:r w:rsidRPr="00DB3869">
        <w:rPr>
          <w:rFonts w:ascii="Calibri" w:hAnsi="Calibri" w:cs="Times New Roman"/>
          <w:color w:val="000000"/>
        </w:rPr>
        <w:t xml:space="preserve"> Act (NCLB). ESSA requires states to develop plans that address standards, assessments, school and district accountability, and support for struggling schools, giving states more flexibility in the process of how to hold schools accountable and how to provide support to schools in the greatest need of support. </w:t>
      </w:r>
    </w:p>
    <w:p w14:paraId="038FE71D" w14:textId="77777777" w:rsidR="001637FC" w:rsidRPr="00DB0D98" w:rsidRDefault="001637FC" w:rsidP="001637FC">
      <w:pPr>
        <w:autoSpaceDE w:val="0"/>
        <w:autoSpaceDN w:val="0"/>
        <w:adjustRightInd w:val="0"/>
        <w:spacing w:after="0" w:line="240" w:lineRule="auto"/>
        <w:rPr>
          <w:rFonts w:ascii="Calibri" w:hAnsi="Calibri" w:cs="Times New Roman"/>
          <w:color w:val="000000"/>
        </w:rPr>
      </w:pPr>
    </w:p>
    <w:p w14:paraId="42A1E328" w14:textId="77777777" w:rsidR="001637FC" w:rsidRPr="00455E8D" w:rsidRDefault="001637FC" w:rsidP="00455E8D">
      <w:pPr>
        <w:pStyle w:val="Heading2"/>
        <w:rPr>
          <w:rStyle w:val="Strong"/>
          <w:b/>
          <w:bCs w:val="0"/>
        </w:rPr>
      </w:pPr>
      <w:r w:rsidRPr="00455E8D">
        <w:rPr>
          <w:rStyle w:val="Strong"/>
          <w:b/>
          <w:bCs w:val="0"/>
        </w:rPr>
        <w:t>ESSA Key Differences from NCLB</w:t>
      </w:r>
    </w:p>
    <w:p w14:paraId="57944208" w14:textId="77777777" w:rsidR="001637FC" w:rsidRPr="00DB3869" w:rsidRDefault="001637FC" w:rsidP="001637FC">
      <w:pPr>
        <w:rPr>
          <w:rFonts w:ascii="Calibri" w:hAnsi="Calibri" w:cs="Times New Roman"/>
          <w:color w:val="000000"/>
        </w:rPr>
      </w:pPr>
      <w:r w:rsidRPr="00DB3869">
        <w:rPr>
          <w:rFonts w:ascii="Calibri" w:hAnsi="Calibri" w:cs="Times New Roman"/>
          <w:color w:val="000000"/>
        </w:rPr>
        <w:t xml:space="preserve">When Congress passed ESSA in December 2015, it maintained some provisions of the previous version of the law (No Child Left Behind), but intentionally provided more flexibility and authority to the states. Congress maintained the requirement to administer a statewide test to all students in grades 3-8 and at least once in high school in reading/language arts and mathematics. It requires certain elements as indicators in the accountability system such as academic achievement and graduation rate. </w:t>
      </w:r>
    </w:p>
    <w:p w14:paraId="6DB61833" w14:textId="77777777" w:rsidR="001637FC" w:rsidRPr="00455E8D" w:rsidRDefault="001637FC" w:rsidP="00455E8D">
      <w:pPr>
        <w:pStyle w:val="Heading3"/>
        <w:rPr>
          <w:rStyle w:val="Strong"/>
          <w:b/>
          <w:bCs w:val="0"/>
        </w:rPr>
      </w:pPr>
      <w:r w:rsidRPr="00455E8D">
        <w:rPr>
          <w:rStyle w:val="Strong"/>
          <w:b/>
          <w:bCs w:val="0"/>
        </w:rPr>
        <w:t>Key differences of ESSA from NCLB are:</w:t>
      </w:r>
    </w:p>
    <w:p w14:paraId="7DCB60EC" w14:textId="77777777" w:rsidR="001637FC" w:rsidRPr="00DB3869" w:rsidRDefault="001637FC" w:rsidP="006641B6">
      <w:pPr>
        <w:pStyle w:val="ListParagraph"/>
        <w:numPr>
          <w:ilvl w:val="0"/>
          <w:numId w:val="68"/>
        </w:numPr>
        <w:rPr>
          <w:rFonts w:ascii="Calibri" w:hAnsi="Calibri" w:cs="Times New Roman"/>
          <w:color w:val="000000"/>
        </w:rPr>
      </w:pPr>
      <w:r w:rsidRPr="00DB3869">
        <w:rPr>
          <w:rFonts w:ascii="Calibri" w:hAnsi="Calibri" w:cs="Times New Roman"/>
          <w:color w:val="000000"/>
        </w:rPr>
        <w:t xml:space="preserve">States may design an overall accountability system based on multiple indicators for all schools, rather than a system under which a school with one subgroup that misses a target for academic achievement is determined to not make adequate yearly progress. </w:t>
      </w:r>
    </w:p>
    <w:p w14:paraId="7E523C6F" w14:textId="77777777" w:rsidR="001637FC" w:rsidRPr="00DB3869" w:rsidRDefault="001637FC" w:rsidP="006641B6">
      <w:pPr>
        <w:pStyle w:val="ListParagraph"/>
        <w:numPr>
          <w:ilvl w:val="0"/>
          <w:numId w:val="68"/>
        </w:numPr>
        <w:rPr>
          <w:rFonts w:ascii="Calibri" w:hAnsi="Calibri" w:cs="Times New Roman"/>
          <w:color w:val="000000"/>
        </w:rPr>
      </w:pPr>
      <w:r w:rsidRPr="00DB3869">
        <w:rPr>
          <w:rFonts w:ascii="Calibri" w:hAnsi="Calibri" w:cs="Times New Roman"/>
          <w:color w:val="000000"/>
        </w:rPr>
        <w:t>States may include one or more indicators of school quality and student success.</w:t>
      </w:r>
    </w:p>
    <w:p w14:paraId="33E57486" w14:textId="77777777" w:rsidR="001637FC" w:rsidRPr="00DB3869" w:rsidRDefault="001637FC" w:rsidP="006641B6">
      <w:pPr>
        <w:pStyle w:val="ListParagraph"/>
        <w:numPr>
          <w:ilvl w:val="0"/>
          <w:numId w:val="68"/>
        </w:numPr>
        <w:rPr>
          <w:rFonts w:ascii="Calibri" w:hAnsi="Calibri" w:cs="Times New Roman"/>
          <w:color w:val="000000"/>
        </w:rPr>
      </w:pPr>
      <w:r w:rsidRPr="00DB3869">
        <w:rPr>
          <w:rFonts w:ascii="Calibri" w:hAnsi="Calibri" w:cs="Times New Roman"/>
          <w:color w:val="000000"/>
        </w:rPr>
        <w:t>States may set their own long-term goals and measures of interim progress in academic achievement and graduation rates, rather than expecting 100 percent proficiency or graduation rates.</w:t>
      </w:r>
    </w:p>
    <w:p w14:paraId="04B3F873" w14:textId="77777777" w:rsidR="001637FC" w:rsidRPr="00DB3869" w:rsidRDefault="001637FC" w:rsidP="006641B6">
      <w:pPr>
        <w:pStyle w:val="ListParagraph"/>
        <w:numPr>
          <w:ilvl w:val="0"/>
          <w:numId w:val="68"/>
        </w:numPr>
        <w:rPr>
          <w:rFonts w:ascii="Calibri" w:hAnsi="Calibri" w:cs="Times New Roman"/>
          <w:color w:val="000000"/>
        </w:rPr>
      </w:pPr>
      <w:r w:rsidRPr="00DB3869">
        <w:rPr>
          <w:rFonts w:ascii="Calibri" w:hAnsi="Calibri" w:cs="Times New Roman"/>
          <w:color w:val="000000"/>
        </w:rPr>
        <w:t>States have some flexibility in how to designate schools needing the most support.</w:t>
      </w:r>
    </w:p>
    <w:p w14:paraId="074EF6FF" w14:textId="77777777" w:rsidR="001637FC" w:rsidRPr="00DB3869" w:rsidRDefault="001637FC" w:rsidP="006641B6">
      <w:pPr>
        <w:pStyle w:val="ListParagraph"/>
        <w:numPr>
          <w:ilvl w:val="0"/>
          <w:numId w:val="68"/>
        </w:numPr>
        <w:autoSpaceDE w:val="0"/>
        <w:autoSpaceDN w:val="0"/>
        <w:adjustRightInd w:val="0"/>
        <w:spacing w:after="0" w:line="240" w:lineRule="auto"/>
        <w:rPr>
          <w:rFonts w:ascii="Calibri" w:hAnsi="Calibri" w:cs="Times New Roman"/>
          <w:color w:val="000000"/>
        </w:rPr>
      </w:pPr>
      <w:r w:rsidRPr="00DB3869">
        <w:rPr>
          <w:rFonts w:ascii="Calibri" w:hAnsi="Calibri" w:cs="Times New Roman"/>
          <w:color w:val="000000"/>
        </w:rPr>
        <w:t>States have more flexibility in determining appropriate consequences and supports for those schools needing support. States also have the responsibility to provide oversight to schools and districts to ensure that students are successful.</w:t>
      </w:r>
    </w:p>
    <w:p w14:paraId="250B6E54" w14:textId="4ADCB319" w:rsidR="00A80549" w:rsidRDefault="00A80549" w:rsidP="001637FC">
      <w:pPr>
        <w:autoSpaceDE w:val="0"/>
        <w:autoSpaceDN w:val="0"/>
        <w:adjustRightInd w:val="0"/>
        <w:spacing w:after="0" w:line="240" w:lineRule="auto"/>
        <w:rPr>
          <w:rFonts w:ascii="Calibri" w:hAnsi="Calibri" w:cs="Times New Roman"/>
          <w:color w:val="000000"/>
        </w:rPr>
      </w:pPr>
    </w:p>
    <w:p w14:paraId="22A60698" w14:textId="24CB1BFE" w:rsidR="00A80549" w:rsidRPr="001B1050" w:rsidRDefault="00A80549" w:rsidP="001B1050">
      <w:pPr>
        <w:pStyle w:val="Heading3"/>
      </w:pPr>
      <w:r w:rsidRPr="001B1050">
        <w:t>Key Points to Remember</w:t>
      </w:r>
      <w:r w:rsidR="00455E8D" w:rsidRPr="001B1050">
        <w:t>:</w:t>
      </w:r>
    </w:p>
    <w:p w14:paraId="5657B5A8" w14:textId="77777777" w:rsidR="00A80549" w:rsidRPr="00455E8D" w:rsidRDefault="00A80549" w:rsidP="006641B6">
      <w:pPr>
        <w:pStyle w:val="ListParagraph"/>
        <w:numPr>
          <w:ilvl w:val="0"/>
          <w:numId w:val="67"/>
        </w:numPr>
        <w:autoSpaceDE w:val="0"/>
        <w:autoSpaceDN w:val="0"/>
        <w:adjustRightInd w:val="0"/>
        <w:spacing w:after="0" w:line="240" w:lineRule="auto"/>
        <w:ind w:left="1080"/>
        <w:rPr>
          <w:rFonts w:ascii="Calibri" w:hAnsi="Calibri" w:cs="Calibri"/>
        </w:rPr>
      </w:pPr>
      <w:r w:rsidRPr="00455E8D">
        <w:rPr>
          <w:rFonts w:ascii="Calibri" w:hAnsi="Calibri" w:cs="Calibri"/>
        </w:rPr>
        <w:t xml:space="preserve">ESSA stands for the </w:t>
      </w:r>
      <w:r w:rsidRPr="00455E8D">
        <w:rPr>
          <w:rFonts w:ascii="Calibri" w:hAnsi="Calibri" w:cs="Calibri"/>
          <w:i/>
        </w:rPr>
        <w:t>Every Student Succeeds Act</w:t>
      </w:r>
      <w:r w:rsidRPr="00455E8D">
        <w:rPr>
          <w:rFonts w:ascii="Calibri" w:hAnsi="Calibri" w:cs="Calibri"/>
        </w:rPr>
        <w:t>.</w:t>
      </w:r>
    </w:p>
    <w:p w14:paraId="7DE0CFF6" w14:textId="77777777" w:rsidR="00A80549" w:rsidRPr="00455E8D" w:rsidRDefault="00A80549" w:rsidP="006641B6">
      <w:pPr>
        <w:pStyle w:val="ListParagraph"/>
        <w:numPr>
          <w:ilvl w:val="0"/>
          <w:numId w:val="67"/>
        </w:numPr>
        <w:autoSpaceDE w:val="0"/>
        <w:autoSpaceDN w:val="0"/>
        <w:adjustRightInd w:val="0"/>
        <w:spacing w:after="0" w:line="240" w:lineRule="auto"/>
        <w:ind w:left="1080"/>
        <w:rPr>
          <w:rFonts w:ascii="Calibri" w:hAnsi="Calibri" w:cs="Calibri"/>
        </w:rPr>
      </w:pPr>
      <w:r w:rsidRPr="00455E8D">
        <w:rPr>
          <w:rFonts w:ascii="Calibri" w:hAnsi="Calibri" w:cs="Calibri"/>
        </w:rPr>
        <w:t>ESSA replaces No Child Left Behind.</w:t>
      </w:r>
    </w:p>
    <w:p w14:paraId="3496F9B8" w14:textId="77777777" w:rsidR="00A80549" w:rsidRPr="00455E8D" w:rsidRDefault="00A80549" w:rsidP="006641B6">
      <w:pPr>
        <w:pStyle w:val="ListParagraph"/>
        <w:numPr>
          <w:ilvl w:val="0"/>
          <w:numId w:val="67"/>
        </w:numPr>
        <w:autoSpaceDE w:val="0"/>
        <w:autoSpaceDN w:val="0"/>
        <w:adjustRightInd w:val="0"/>
        <w:spacing w:after="0" w:line="240" w:lineRule="auto"/>
        <w:ind w:left="1080"/>
        <w:rPr>
          <w:rFonts w:ascii="Calibri" w:hAnsi="Calibri" w:cs="Calibri"/>
        </w:rPr>
      </w:pPr>
      <w:r w:rsidRPr="00455E8D">
        <w:rPr>
          <w:rFonts w:ascii="Calibri" w:hAnsi="Calibri" w:cs="Calibri"/>
        </w:rPr>
        <w:t>With ESSA, each state can have a more flexible and unique accountability system.</w:t>
      </w:r>
    </w:p>
    <w:p w14:paraId="1EF6CA4F" w14:textId="77777777" w:rsidR="00A80549" w:rsidRPr="00455E8D" w:rsidRDefault="00A80549" w:rsidP="006641B6">
      <w:pPr>
        <w:pStyle w:val="ListParagraph"/>
        <w:numPr>
          <w:ilvl w:val="0"/>
          <w:numId w:val="67"/>
        </w:numPr>
        <w:autoSpaceDE w:val="0"/>
        <w:autoSpaceDN w:val="0"/>
        <w:adjustRightInd w:val="0"/>
        <w:spacing w:after="0" w:line="240" w:lineRule="auto"/>
        <w:ind w:left="1080"/>
        <w:rPr>
          <w:rFonts w:ascii="Calibri" w:hAnsi="Calibri" w:cs="Calibri"/>
        </w:rPr>
      </w:pPr>
      <w:r w:rsidRPr="00455E8D">
        <w:rPr>
          <w:rFonts w:ascii="Calibri" w:hAnsi="Calibri" w:cs="Calibri"/>
        </w:rPr>
        <w:t>The change is a positive shift for Alaska educators, students, and citizens.</w:t>
      </w:r>
    </w:p>
    <w:p w14:paraId="3A70787A" w14:textId="77777777" w:rsidR="00A80549" w:rsidRPr="00DB3869" w:rsidRDefault="00A80549" w:rsidP="001637FC">
      <w:pPr>
        <w:autoSpaceDE w:val="0"/>
        <w:autoSpaceDN w:val="0"/>
        <w:adjustRightInd w:val="0"/>
        <w:spacing w:after="0" w:line="240" w:lineRule="auto"/>
        <w:rPr>
          <w:rFonts w:ascii="Calibri" w:hAnsi="Calibri" w:cs="Times New Roman"/>
          <w:color w:val="000000"/>
        </w:rPr>
      </w:pPr>
    </w:p>
    <w:p w14:paraId="59ACC0E6" w14:textId="05258854" w:rsidR="00A80549" w:rsidRPr="00AB17BA" w:rsidRDefault="001637FC" w:rsidP="00A80549">
      <w:pPr>
        <w:autoSpaceDE w:val="0"/>
        <w:autoSpaceDN w:val="0"/>
        <w:adjustRightInd w:val="0"/>
        <w:spacing w:after="0" w:line="240" w:lineRule="auto"/>
        <w:rPr>
          <w:rFonts w:ascii="Calibri" w:hAnsi="Calibri" w:cs="Calibri"/>
          <w:color w:val="0070C0"/>
        </w:rPr>
      </w:pPr>
      <w:r w:rsidRPr="00DB0D98">
        <w:rPr>
          <w:rFonts w:ascii="Calibri" w:hAnsi="Calibri" w:cs="Times New Roman"/>
          <w:color w:val="000000"/>
        </w:rPr>
        <w:br w:type="page"/>
      </w:r>
    </w:p>
    <w:p w14:paraId="73462BDE" w14:textId="764CCF78" w:rsidR="001637FC" w:rsidRPr="001B1050" w:rsidRDefault="001637FC" w:rsidP="001B1050">
      <w:pPr>
        <w:pStyle w:val="Heading2"/>
        <w:rPr>
          <w:rStyle w:val="Strong"/>
          <w:b/>
          <w:bCs w:val="0"/>
        </w:rPr>
      </w:pPr>
      <w:r w:rsidRPr="001B1050">
        <w:rPr>
          <w:rStyle w:val="Strong"/>
          <w:b/>
          <w:bCs w:val="0"/>
        </w:rPr>
        <w:lastRenderedPageBreak/>
        <w:t>Alaska’s Education System and ESSA</w:t>
      </w:r>
    </w:p>
    <w:p w14:paraId="660DD2B1" w14:textId="77777777" w:rsidR="001637FC" w:rsidRPr="00B76C7E" w:rsidRDefault="001637FC" w:rsidP="001637FC">
      <w:pPr>
        <w:rPr>
          <w:rFonts w:ascii="Calibri" w:hAnsi="Calibri" w:cs="Times New Roman"/>
          <w:color w:val="000000"/>
        </w:rPr>
      </w:pPr>
      <w:r w:rsidRPr="00DB0D98">
        <w:rPr>
          <w:rFonts w:ascii="Calibri" w:hAnsi="Calibri" w:cs="Times New Roman"/>
          <w:color w:val="000000"/>
        </w:rPr>
        <w:t>Alaska’s ESSA State Plan represents over a year's worth of stakeholder engagement and department preparation in creating a plan to implement ESSA requirements within the unique context of Alaskan education. The elements of Alaska’s ESSA State Plan are desi</w:t>
      </w:r>
      <w:r w:rsidRPr="00BA73F7">
        <w:rPr>
          <w:rFonts w:ascii="Calibri" w:hAnsi="Calibri" w:cs="Times New Roman"/>
          <w:color w:val="000000"/>
        </w:rPr>
        <w:t>gned to support the broader work of improving Alaska’s education system. The State Board of Education and Early Development (State Board) has adopted a statewide mission and vision for public education. The State Board has also adopted five strategic priorities fo</w:t>
      </w:r>
      <w:r w:rsidRPr="00B76C7E">
        <w:rPr>
          <w:rFonts w:ascii="Calibri" w:hAnsi="Calibri" w:cs="Times New Roman"/>
          <w:color w:val="000000"/>
        </w:rPr>
        <w:t xml:space="preserve">r the Alaska education system. </w:t>
      </w:r>
    </w:p>
    <w:p w14:paraId="3B58B1A2" w14:textId="77777777" w:rsidR="001637FC" w:rsidRPr="00DB0D98" w:rsidRDefault="001637FC" w:rsidP="006641B6">
      <w:pPr>
        <w:pStyle w:val="ListParagraph"/>
        <w:numPr>
          <w:ilvl w:val="0"/>
          <w:numId w:val="63"/>
        </w:numPr>
        <w:rPr>
          <w:rFonts w:ascii="Calibri" w:hAnsi="Calibri" w:cs="Times New Roman"/>
          <w:color w:val="000000"/>
        </w:rPr>
      </w:pPr>
      <w:r w:rsidRPr="00DB3869">
        <w:rPr>
          <w:rFonts w:ascii="Calibri" w:hAnsi="Calibri" w:cs="Times New Roman"/>
          <w:color w:val="000000"/>
        </w:rPr>
        <w:t>Mission:</w:t>
      </w:r>
      <w:r w:rsidRPr="00DB0D98">
        <w:rPr>
          <w:rFonts w:ascii="Calibri" w:hAnsi="Calibri" w:cs="Times New Roman"/>
          <w:color w:val="000000"/>
        </w:rPr>
        <w:t xml:space="preserve"> An excellent education for every student every day.</w:t>
      </w:r>
    </w:p>
    <w:p w14:paraId="54A36BD1" w14:textId="77777777" w:rsidR="001637FC" w:rsidRPr="00B76C7E" w:rsidRDefault="001637FC" w:rsidP="006641B6">
      <w:pPr>
        <w:pStyle w:val="ListParagraph"/>
        <w:numPr>
          <w:ilvl w:val="0"/>
          <w:numId w:val="63"/>
        </w:numPr>
        <w:rPr>
          <w:rFonts w:ascii="Calibri" w:hAnsi="Calibri" w:cs="Times New Roman"/>
          <w:color w:val="000000"/>
        </w:rPr>
      </w:pPr>
      <w:r w:rsidRPr="00DB3869">
        <w:rPr>
          <w:rFonts w:ascii="Calibri" w:hAnsi="Calibri" w:cs="Times New Roman"/>
          <w:color w:val="000000"/>
        </w:rPr>
        <w:t>Vision:</w:t>
      </w:r>
      <w:r w:rsidRPr="00DB0D98">
        <w:rPr>
          <w:rFonts w:ascii="Calibri" w:hAnsi="Calibri" w:cs="Times New Roman"/>
          <w:color w:val="000000"/>
        </w:rPr>
        <w:t xml:space="preserve"> All students can succeed in their education and work; shape worthwhile and satisfying lives for themselves; exemplify the best values of society; a</w:t>
      </w:r>
      <w:r w:rsidRPr="00BA73F7">
        <w:rPr>
          <w:rFonts w:ascii="Calibri" w:hAnsi="Calibri" w:cs="Times New Roman"/>
          <w:color w:val="000000"/>
        </w:rPr>
        <w:t xml:space="preserve">nd, be effective in improving the character and quality of the world about them. </w:t>
      </w:r>
    </w:p>
    <w:p w14:paraId="1C6C1435" w14:textId="77777777" w:rsidR="001637FC" w:rsidRPr="00DB3869" w:rsidRDefault="001637FC" w:rsidP="006641B6">
      <w:pPr>
        <w:pStyle w:val="ListParagraph"/>
        <w:numPr>
          <w:ilvl w:val="0"/>
          <w:numId w:val="63"/>
        </w:numPr>
        <w:rPr>
          <w:rFonts w:ascii="Calibri" w:hAnsi="Calibri" w:cs="Times New Roman"/>
          <w:color w:val="000000"/>
        </w:rPr>
      </w:pPr>
      <w:r w:rsidRPr="00DB3869">
        <w:rPr>
          <w:rFonts w:ascii="Calibri" w:hAnsi="Calibri" w:cs="Times New Roman"/>
          <w:color w:val="000000"/>
        </w:rPr>
        <w:t>Five Strategic Priorities:</w:t>
      </w:r>
    </w:p>
    <w:p w14:paraId="79500294" w14:textId="77777777" w:rsidR="001637FC" w:rsidRPr="00DB3869" w:rsidRDefault="001637FC" w:rsidP="006641B6">
      <w:pPr>
        <w:pStyle w:val="ListParagraph"/>
        <w:numPr>
          <w:ilvl w:val="1"/>
          <w:numId w:val="63"/>
        </w:numPr>
        <w:rPr>
          <w:rFonts w:ascii="Calibri" w:hAnsi="Calibri" w:cs="Times New Roman"/>
          <w:color w:val="000000"/>
        </w:rPr>
      </w:pPr>
      <w:r w:rsidRPr="00DB3869">
        <w:rPr>
          <w:rFonts w:ascii="Calibri" w:hAnsi="Calibri" w:cs="Times New Roman"/>
          <w:color w:val="000000"/>
        </w:rPr>
        <w:t>Amplify student learning</w:t>
      </w:r>
    </w:p>
    <w:p w14:paraId="0D7FD2FE" w14:textId="77777777" w:rsidR="001637FC" w:rsidRPr="00DB3869" w:rsidRDefault="001637FC" w:rsidP="006641B6">
      <w:pPr>
        <w:pStyle w:val="ListParagraph"/>
        <w:numPr>
          <w:ilvl w:val="1"/>
          <w:numId w:val="63"/>
        </w:numPr>
        <w:rPr>
          <w:rFonts w:ascii="Calibri" w:hAnsi="Calibri" w:cs="Times New Roman"/>
          <w:color w:val="000000"/>
        </w:rPr>
      </w:pPr>
      <w:r w:rsidRPr="00DB3869">
        <w:rPr>
          <w:rFonts w:ascii="Calibri" w:hAnsi="Calibri" w:cs="Times New Roman"/>
          <w:color w:val="000000"/>
        </w:rPr>
        <w:t>Inspire community and tribal ownership of educational excellence</w:t>
      </w:r>
    </w:p>
    <w:p w14:paraId="7BCE0B0C" w14:textId="77777777" w:rsidR="001637FC" w:rsidRPr="00DB3869" w:rsidRDefault="001637FC" w:rsidP="006641B6">
      <w:pPr>
        <w:pStyle w:val="ListParagraph"/>
        <w:numPr>
          <w:ilvl w:val="1"/>
          <w:numId w:val="63"/>
        </w:numPr>
        <w:rPr>
          <w:rFonts w:ascii="Calibri" w:hAnsi="Calibri" w:cs="Times New Roman"/>
          <w:color w:val="000000"/>
        </w:rPr>
      </w:pPr>
      <w:r w:rsidRPr="00DB3869">
        <w:rPr>
          <w:rFonts w:ascii="Calibri" w:hAnsi="Calibri" w:cs="Times New Roman"/>
          <w:color w:val="000000"/>
        </w:rPr>
        <w:t>Modernize the education system</w:t>
      </w:r>
    </w:p>
    <w:p w14:paraId="2A8AD514" w14:textId="77777777" w:rsidR="001637FC" w:rsidRPr="00DB3869" w:rsidRDefault="001637FC" w:rsidP="006641B6">
      <w:pPr>
        <w:pStyle w:val="ListParagraph"/>
        <w:numPr>
          <w:ilvl w:val="1"/>
          <w:numId w:val="63"/>
        </w:numPr>
        <w:rPr>
          <w:rFonts w:ascii="Calibri" w:hAnsi="Calibri" w:cs="Times New Roman"/>
          <w:color w:val="000000"/>
        </w:rPr>
      </w:pPr>
      <w:r w:rsidRPr="00DB3869">
        <w:rPr>
          <w:rFonts w:ascii="Calibri" w:hAnsi="Calibri" w:cs="Times New Roman"/>
          <w:color w:val="000000"/>
        </w:rPr>
        <w:t>Ensure excellent educators</w:t>
      </w:r>
    </w:p>
    <w:p w14:paraId="2B1D34B6" w14:textId="77777777" w:rsidR="001637FC" w:rsidRPr="00DB3869" w:rsidRDefault="001637FC" w:rsidP="006641B6">
      <w:pPr>
        <w:pStyle w:val="ListParagraph"/>
        <w:numPr>
          <w:ilvl w:val="1"/>
          <w:numId w:val="63"/>
        </w:numPr>
        <w:rPr>
          <w:rFonts w:ascii="Calibri" w:hAnsi="Calibri" w:cs="Times New Roman"/>
          <w:color w:val="000000"/>
        </w:rPr>
      </w:pPr>
      <w:r w:rsidRPr="00DB3869">
        <w:rPr>
          <w:rFonts w:ascii="Calibri" w:hAnsi="Calibri" w:cs="Times New Roman"/>
          <w:color w:val="000000"/>
        </w:rPr>
        <w:t>Promote safety and well-being</w:t>
      </w:r>
    </w:p>
    <w:p w14:paraId="3DEEE787" w14:textId="5A988536" w:rsidR="001637FC" w:rsidRPr="00BA73F7" w:rsidRDefault="001637FC" w:rsidP="001637FC">
      <w:pPr>
        <w:autoSpaceDE w:val="0"/>
        <w:autoSpaceDN w:val="0"/>
        <w:adjustRightInd w:val="0"/>
        <w:spacing w:after="0" w:line="240" w:lineRule="auto"/>
        <w:rPr>
          <w:rFonts w:ascii="Calibri" w:hAnsi="Calibri" w:cs="Times New Roman"/>
          <w:color w:val="000000"/>
        </w:rPr>
      </w:pPr>
      <w:r w:rsidRPr="00B76C7E">
        <w:rPr>
          <w:rFonts w:ascii="Calibri" w:hAnsi="Calibri" w:cs="Times New Roman"/>
          <w:color w:val="000000"/>
        </w:rPr>
        <w:t>Alaska’s ESSA plan is a description of the system to help schools and districts measure their performance on key indicators, identify so</w:t>
      </w:r>
      <w:r w:rsidRPr="00A25292">
        <w:rPr>
          <w:rFonts w:ascii="Calibri" w:hAnsi="Calibri" w:cs="Times New Roman"/>
          <w:color w:val="000000"/>
        </w:rPr>
        <w:t xml:space="preserve">lutions for improvement, and target resources and support for all students to receive an excellent education and be prepared for college or career after high school. </w:t>
      </w:r>
      <w:r w:rsidR="00BA73F7" w:rsidRPr="00156BF7">
        <w:rPr>
          <w:rFonts w:ascii="Calibri" w:hAnsi="Calibri" w:cs="Calibri"/>
        </w:rPr>
        <w:t>Key principles of the accountability system are described in sufficient detail to demonstrate alignment with the ESSA requirements. Additional details of the accountability system will be developed and implemented through business rules and state regulations adopted by the State Board of Education and Early Development following a public comment process. This gives Alaska the flexibility to make adjustments in the system within the requirements of ESSA as needed in the future.</w:t>
      </w:r>
    </w:p>
    <w:p w14:paraId="6F701F95" w14:textId="77777777" w:rsidR="00927AEF" w:rsidRDefault="00927AEF">
      <w:r>
        <w:br w:type="page"/>
      </w:r>
    </w:p>
    <w:p w14:paraId="27B89428" w14:textId="5001B90E" w:rsidR="005D2985" w:rsidRPr="005D2985" w:rsidRDefault="00A6180D" w:rsidP="006641B6">
      <w:pPr>
        <w:pStyle w:val="Heading1"/>
        <w:numPr>
          <w:ilvl w:val="0"/>
          <w:numId w:val="83"/>
        </w:numPr>
      </w:pPr>
      <w:bookmarkStart w:id="2" w:name="_Toc6231619"/>
      <w:r w:rsidRPr="00A551DA">
        <w:lastRenderedPageBreak/>
        <w:t>Title I, Part A: Improving Basic Programs Operated by Local Educational Agencies</w:t>
      </w:r>
      <w:bookmarkEnd w:id="2"/>
    </w:p>
    <w:p w14:paraId="2C668E6A" w14:textId="77777777" w:rsidR="00D05740" w:rsidRDefault="005D2985" w:rsidP="006641B6">
      <w:pPr>
        <w:pStyle w:val="Heading2"/>
        <w:numPr>
          <w:ilvl w:val="0"/>
          <w:numId w:val="87"/>
        </w:numPr>
      </w:pPr>
      <w:bookmarkStart w:id="3" w:name="_Toc6231620"/>
      <w:r w:rsidRPr="00D05740">
        <w:t xml:space="preserve">Challenging State Academic Standards and Assessments </w:t>
      </w:r>
    </w:p>
    <w:p w14:paraId="21518482" w14:textId="7410324C" w:rsidR="005D2985" w:rsidRPr="00D05740" w:rsidRDefault="005D2985" w:rsidP="00D05740">
      <w:pPr>
        <w:ind w:firstLine="720"/>
        <w:rPr>
          <w:sz w:val="26"/>
          <w:szCs w:val="26"/>
        </w:rPr>
      </w:pPr>
      <w:r w:rsidRPr="00D05740">
        <w:rPr>
          <w:sz w:val="26"/>
          <w:szCs w:val="26"/>
        </w:rPr>
        <w:t>(ESEA section 1111(b</w:t>
      </w:r>
      <w:proofErr w:type="gramStart"/>
      <w:r w:rsidRPr="00D05740">
        <w:rPr>
          <w:sz w:val="26"/>
          <w:szCs w:val="26"/>
        </w:rPr>
        <w:t>)(</w:t>
      </w:r>
      <w:proofErr w:type="gramEnd"/>
      <w:r w:rsidRPr="00D05740">
        <w:rPr>
          <w:sz w:val="26"/>
          <w:szCs w:val="26"/>
        </w:rPr>
        <w:t>1) and (2) and 34 CFR §§ 200.1−200.8.)</w:t>
      </w:r>
      <w:bookmarkEnd w:id="3"/>
      <w:r w:rsidRPr="00D05740">
        <w:rPr>
          <w:rStyle w:val="Strong"/>
          <w:b w:val="0"/>
          <w:sz w:val="26"/>
          <w:szCs w:val="26"/>
        </w:rPr>
        <w:t xml:space="preserve"> </w:t>
      </w:r>
    </w:p>
    <w:p w14:paraId="7BBD0457" w14:textId="484D20F8" w:rsidR="005D2985" w:rsidRDefault="005D2985" w:rsidP="001B1050">
      <w:pPr>
        <w:rPr>
          <w:rFonts w:ascii="Calibri" w:hAnsi="Calibri" w:cs="Times New Roman"/>
          <w:color w:val="000000"/>
        </w:rPr>
      </w:pPr>
      <w:r w:rsidRPr="008B6B39">
        <w:rPr>
          <w:rFonts w:ascii="Calibri" w:hAnsi="Calibri" w:cs="Times New Roman"/>
          <w:color w:val="000000"/>
        </w:rPr>
        <w:t xml:space="preserve">Alaska adopted more rigorous standards in English Language Arts (ELA) and Mathematics in 2012 to ensure </w:t>
      </w:r>
      <w:r>
        <w:rPr>
          <w:rFonts w:ascii="Calibri" w:hAnsi="Calibri" w:cs="Times New Roman"/>
          <w:color w:val="000000"/>
        </w:rPr>
        <w:t>Alaska’s</w:t>
      </w:r>
      <w:r w:rsidRPr="008B6B39">
        <w:rPr>
          <w:rFonts w:ascii="Calibri" w:hAnsi="Calibri" w:cs="Times New Roman"/>
          <w:color w:val="000000"/>
        </w:rPr>
        <w:t xml:space="preserve"> students would be prepared for college and/or careers after high school. Stakeholder feedback indicated Alaska should keep the new ELA and Mathematics Standards, but consider reviewing them in the future to determin</w:t>
      </w:r>
      <w:r w:rsidR="001B1050">
        <w:rPr>
          <w:rFonts w:ascii="Calibri" w:hAnsi="Calibri" w:cs="Times New Roman"/>
          <w:color w:val="000000"/>
        </w:rPr>
        <w:t xml:space="preserve">e if any revisions are needed. </w:t>
      </w:r>
    </w:p>
    <w:p w14:paraId="0144B516" w14:textId="2D154FDA" w:rsidR="005D2985" w:rsidRDefault="005D2985" w:rsidP="001B1050">
      <w:pPr>
        <w:rPr>
          <w:rFonts w:ascii="Calibri" w:hAnsi="Calibri" w:cs="Times New Roman"/>
          <w:color w:val="000000"/>
        </w:rPr>
      </w:pPr>
      <w:r w:rsidRPr="008B6B39">
        <w:rPr>
          <w:rFonts w:ascii="Calibri" w:hAnsi="Calibri" w:cs="Times New Roman"/>
          <w:color w:val="000000"/>
        </w:rPr>
        <w:t>These standards were first assessed in 2015 with the Alaska Measures of Progress Assessment. Due to technical issues and a construction accident that severed the internet connection in 2016, that assessment was cancelled. Alaska administered the Performance Evaluation for Alaska’s Schools (PEAKS) assessment in 2017 to all students in grades 3-10. Alaska will continue to administer the PEAKS assessment to students in grades 3-8 and grade</w:t>
      </w:r>
      <w:r>
        <w:rPr>
          <w:rFonts w:ascii="Calibri" w:hAnsi="Calibri" w:cs="Times New Roman"/>
          <w:color w:val="000000"/>
        </w:rPr>
        <w:t xml:space="preserve"> 9</w:t>
      </w:r>
      <w:r w:rsidRPr="008B6B39">
        <w:rPr>
          <w:rFonts w:ascii="Calibri" w:hAnsi="Calibri" w:cs="Times New Roman"/>
          <w:color w:val="000000"/>
        </w:rPr>
        <w:t xml:space="preserve"> in high school in 2018</w:t>
      </w:r>
      <w:r>
        <w:rPr>
          <w:rFonts w:ascii="Calibri" w:hAnsi="Calibri" w:cs="Times New Roman"/>
          <w:color w:val="000000"/>
        </w:rPr>
        <w:t xml:space="preserve">. </w:t>
      </w:r>
      <w:r w:rsidRPr="008B6B39">
        <w:rPr>
          <w:rFonts w:ascii="Calibri" w:hAnsi="Calibri" w:cs="Times New Roman"/>
          <w:color w:val="000000"/>
        </w:rPr>
        <w:t xml:space="preserve">DEED will </w:t>
      </w:r>
      <w:r>
        <w:rPr>
          <w:rFonts w:ascii="Calibri" w:hAnsi="Calibri" w:cs="Times New Roman"/>
          <w:color w:val="000000"/>
        </w:rPr>
        <w:t xml:space="preserve">continue to </w:t>
      </w:r>
      <w:r w:rsidRPr="008B6B39">
        <w:rPr>
          <w:rFonts w:ascii="Calibri" w:hAnsi="Calibri" w:cs="Times New Roman"/>
          <w:color w:val="000000"/>
        </w:rPr>
        <w:t xml:space="preserve">work with stakeholders to determine whether </w:t>
      </w:r>
      <w:r>
        <w:rPr>
          <w:rFonts w:ascii="Calibri" w:hAnsi="Calibri" w:cs="Times New Roman"/>
          <w:color w:val="000000"/>
        </w:rPr>
        <w:t xml:space="preserve">and when </w:t>
      </w:r>
      <w:r w:rsidRPr="008B6B39">
        <w:rPr>
          <w:rFonts w:ascii="Calibri" w:hAnsi="Calibri" w:cs="Times New Roman"/>
          <w:color w:val="000000"/>
        </w:rPr>
        <w:t>to make a transition from end-of-grade test</w:t>
      </w:r>
      <w:r>
        <w:rPr>
          <w:rFonts w:ascii="Calibri" w:hAnsi="Calibri" w:cs="Times New Roman"/>
          <w:color w:val="000000"/>
        </w:rPr>
        <w:t xml:space="preserve">s </w:t>
      </w:r>
      <w:r w:rsidRPr="008B6B39">
        <w:rPr>
          <w:rFonts w:ascii="Calibri" w:hAnsi="Calibri" w:cs="Times New Roman"/>
          <w:color w:val="000000"/>
        </w:rPr>
        <w:t>to end-of-course test</w:t>
      </w:r>
      <w:r>
        <w:rPr>
          <w:rFonts w:ascii="Calibri" w:hAnsi="Calibri" w:cs="Times New Roman"/>
          <w:color w:val="000000"/>
        </w:rPr>
        <w:t>s</w:t>
      </w:r>
      <w:r w:rsidRPr="008B6B39">
        <w:rPr>
          <w:rFonts w:ascii="Calibri" w:hAnsi="Calibri" w:cs="Times New Roman"/>
          <w:color w:val="000000"/>
        </w:rPr>
        <w:t xml:space="preserve"> </w:t>
      </w:r>
      <w:r>
        <w:rPr>
          <w:rFonts w:ascii="Calibri" w:hAnsi="Calibri" w:cs="Times New Roman"/>
          <w:color w:val="000000"/>
        </w:rPr>
        <w:t xml:space="preserve">that will be administered once to a high school student </w:t>
      </w:r>
      <w:r w:rsidRPr="008B6B39">
        <w:rPr>
          <w:rFonts w:ascii="Calibri" w:hAnsi="Calibri" w:cs="Times New Roman"/>
          <w:color w:val="000000"/>
        </w:rPr>
        <w:t>in the grade in which the</w:t>
      </w:r>
      <w:r>
        <w:rPr>
          <w:rFonts w:ascii="Calibri" w:hAnsi="Calibri" w:cs="Times New Roman"/>
          <w:color w:val="000000"/>
        </w:rPr>
        <w:t xml:space="preserve"> student</w:t>
      </w:r>
      <w:r w:rsidRPr="008B6B39">
        <w:rPr>
          <w:rFonts w:ascii="Calibri" w:hAnsi="Calibri" w:cs="Times New Roman"/>
          <w:color w:val="000000"/>
        </w:rPr>
        <w:t xml:space="preserve"> </w:t>
      </w:r>
      <w:r>
        <w:rPr>
          <w:rFonts w:ascii="Calibri" w:hAnsi="Calibri" w:cs="Times New Roman"/>
          <w:color w:val="000000"/>
        </w:rPr>
        <w:t>completes the appropriate content that is measured by the end-of-course assessment</w:t>
      </w:r>
      <w:r w:rsidR="001B1050">
        <w:rPr>
          <w:rFonts w:ascii="Calibri" w:hAnsi="Calibri" w:cs="Times New Roman"/>
          <w:color w:val="000000"/>
        </w:rPr>
        <w:t xml:space="preserve">. </w:t>
      </w:r>
    </w:p>
    <w:p w14:paraId="4985FD1B" w14:textId="201EF417" w:rsidR="005D2985" w:rsidRPr="001B1050" w:rsidRDefault="005D2985" w:rsidP="005D2985">
      <w:pPr>
        <w:rPr>
          <w:rFonts w:ascii="Calibri" w:hAnsi="Calibri" w:cs="Times New Roman"/>
          <w:color w:val="000000"/>
        </w:rPr>
      </w:pPr>
      <w:r w:rsidRPr="008B6B39">
        <w:rPr>
          <w:rFonts w:ascii="Calibri" w:hAnsi="Calibri" w:cs="Times New Roman"/>
          <w:color w:val="000000"/>
        </w:rPr>
        <w:t>Alaska’s Science Standards and Grade Level Expectations were last revised in 2006. Students in grades 4, 8, and 10 take the Alaska Science Assessment. The Science Standards will be considered for revision during the 2017-2018 school year. A plan will be created to transition to a new assessment to measure the new Science Standards after new standards are adopted by the Al</w:t>
      </w:r>
      <w:r w:rsidR="001B1050">
        <w:rPr>
          <w:rFonts w:ascii="Calibri" w:hAnsi="Calibri" w:cs="Times New Roman"/>
          <w:color w:val="000000"/>
        </w:rPr>
        <w:t xml:space="preserve">aska State Board of Education. </w:t>
      </w:r>
    </w:p>
    <w:p w14:paraId="70830C57" w14:textId="1FEEC5EA" w:rsidR="00D05740" w:rsidRPr="00D05740" w:rsidRDefault="00D05740" w:rsidP="006641B6">
      <w:pPr>
        <w:pStyle w:val="Heading2"/>
        <w:numPr>
          <w:ilvl w:val="0"/>
          <w:numId w:val="87"/>
        </w:numPr>
        <w:rPr>
          <w:bCs/>
        </w:rPr>
      </w:pPr>
      <w:bookmarkStart w:id="4" w:name="_Toc6231621"/>
      <w:r>
        <w:t>Eighth Grade Math Exception</w:t>
      </w:r>
    </w:p>
    <w:p w14:paraId="19E6D116" w14:textId="21F5DF45" w:rsidR="005D2985" w:rsidRPr="00D05740" w:rsidRDefault="005D2985" w:rsidP="00D05740">
      <w:pPr>
        <w:ind w:firstLine="360"/>
        <w:rPr>
          <w:rStyle w:val="Strong"/>
          <w:b w:val="0"/>
          <w:sz w:val="26"/>
          <w:szCs w:val="26"/>
        </w:rPr>
      </w:pPr>
      <w:r w:rsidRPr="00D05740">
        <w:rPr>
          <w:sz w:val="26"/>
          <w:szCs w:val="26"/>
        </w:rPr>
        <w:t>(ESEA section 1111(b</w:t>
      </w:r>
      <w:proofErr w:type="gramStart"/>
      <w:r w:rsidRPr="00D05740">
        <w:rPr>
          <w:sz w:val="26"/>
          <w:szCs w:val="26"/>
        </w:rPr>
        <w:t>)(</w:t>
      </w:r>
      <w:proofErr w:type="gramEnd"/>
      <w:r w:rsidRPr="00D05740">
        <w:rPr>
          <w:sz w:val="26"/>
          <w:szCs w:val="26"/>
        </w:rPr>
        <w:t>2)(C) and 34 CFR § 200.5(b)(4)):</w:t>
      </w:r>
      <w:bookmarkEnd w:id="4"/>
    </w:p>
    <w:p w14:paraId="28502214" w14:textId="46070C76" w:rsidR="005D2985" w:rsidRPr="00D05740" w:rsidRDefault="005D2985" w:rsidP="006641B6">
      <w:pPr>
        <w:pStyle w:val="ListParagraph"/>
        <w:numPr>
          <w:ilvl w:val="0"/>
          <w:numId w:val="84"/>
        </w:numPr>
        <w:ind w:left="1080"/>
        <w:rPr>
          <w:b/>
        </w:rPr>
      </w:pPr>
      <w:r w:rsidRPr="00D05740">
        <w:rPr>
          <w:b/>
        </w:rPr>
        <w:t>Does the State administer an end-of-course mathematics assessment to meet the requirements under section 1111(b</w:t>
      </w:r>
      <w:proofErr w:type="gramStart"/>
      <w:r w:rsidR="001B1050" w:rsidRPr="00D05740">
        <w:rPr>
          <w:b/>
        </w:rPr>
        <w:t>)(</w:t>
      </w:r>
      <w:proofErr w:type="gramEnd"/>
      <w:r w:rsidR="001B1050" w:rsidRPr="00D05740">
        <w:rPr>
          <w:b/>
        </w:rPr>
        <w:t xml:space="preserve">2)(B)(v)(I)(bb) of the ESEA? </w:t>
      </w:r>
    </w:p>
    <w:p w14:paraId="4AECACCB" w14:textId="1BB3FD06" w:rsidR="005D2985" w:rsidRPr="00697AC2" w:rsidRDefault="00A12A18" w:rsidP="005D2985">
      <w:pPr>
        <w:pStyle w:val="Default"/>
        <w:ind w:left="787"/>
        <w:rPr>
          <w:rFonts w:ascii="Calibri" w:hAnsi="Calibri"/>
          <w:sz w:val="22"/>
          <w:szCs w:val="22"/>
        </w:rPr>
      </w:pPr>
      <w:sdt>
        <w:sdtPr>
          <w:rPr>
            <w:rFonts w:ascii="Calibri" w:hAnsi="Calibri"/>
            <w:sz w:val="22"/>
            <w:szCs w:val="22"/>
          </w:rPr>
          <w:id w:val="8179871"/>
          <w14:checkbox>
            <w14:checked w14:val="0"/>
            <w14:checkedState w14:val="2612" w14:font="MS Gothic"/>
            <w14:uncheckedState w14:val="2610" w14:font="MS Gothic"/>
          </w14:checkbox>
        </w:sdtPr>
        <w:sdtEndPr/>
        <w:sdtContent>
          <w:r w:rsidR="005D2985">
            <w:rPr>
              <w:rFonts w:ascii="MS Gothic" w:eastAsia="MS Gothic" w:hAnsi="MS Gothic" w:hint="eastAsia"/>
              <w:sz w:val="22"/>
              <w:szCs w:val="22"/>
            </w:rPr>
            <w:t>☐</w:t>
          </w:r>
        </w:sdtContent>
      </w:sdt>
      <w:r w:rsidR="005D2985" w:rsidRPr="00697AC2">
        <w:rPr>
          <w:rFonts w:ascii="Calibri" w:hAnsi="Calibri"/>
          <w:sz w:val="22"/>
          <w:szCs w:val="22"/>
        </w:rPr>
        <w:t xml:space="preserve"> Yes </w:t>
      </w:r>
    </w:p>
    <w:p w14:paraId="74ADBA9D" w14:textId="77777777" w:rsidR="005D2985" w:rsidRPr="00697AC2" w:rsidRDefault="00A12A18" w:rsidP="005D2985">
      <w:pPr>
        <w:ind w:left="787"/>
        <w:rPr>
          <w:rFonts w:ascii="Calibri" w:hAnsi="Calibri"/>
        </w:rPr>
      </w:pPr>
      <w:sdt>
        <w:sdtPr>
          <w:rPr>
            <w:rFonts w:ascii="Calibri" w:hAnsi="Calibri"/>
          </w:rPr>
          <w:id w:val="-588929355"/>
          <w14:checkbox>
            <w14:checked w14:val="1"/>
            <w14:checkedState w14:val="2612" w14:font="MS Gothic"/>
            <w14:uncheckedState w14:val="2610" w14:font="MS Gothic"/>
          </w14:checkbox>
        </w:sdtPr>
        <w:sdtEndPr/>
        <w:sdtContent>
          <w:r w:rsidR="005D2985">
            <w:rPr>
              <w:rFonts w:ascii="MS Gothic" w:eastAsia="MS Gothic" w:hAnsi="MS Gothic" w:hint="eastAsia"/>
            </w:rPr>
            <w:t>☒</w:t>
          </w:r>
        </w:sdtContent>
      </w:sdt>
      <w:r w:rsidR="005D2985" w:rsidRPr="00697AC2">
        <w:rPr>
          <w:rFonts w:ascii="Calibri" w:hAnsi="Calibri"/>
        </w:rPr>
        <w:t>No</w:t>
      </w:r>
    </w:p>
    <w:p w14:paraId="52594174" w14:textId="77777777" w:rsidR="001B1050" w:rsidRDefault="005D2985" w:rsidP="001B1050">
      <w:pPr>
        <w:rPr>
          <w:rFonts w:ascii="Calibri" w:hAnsi="Calibri"/>
        </w:rPr>
      </w:pPr>
      <w:r>
        <w:rPr>
          <w:rFonts w:ascii="Calibri" w:hAnsi="Calibri"/>
        </w:rPr>
        <w:t>Alaska has administered assessments to students in both grades 9 and 10 in high school through 2016-2017. The State Board of Education and Early Development adopted a regulation change that allows the State flexibility to administer an assessment in only one grade in high school. Alaska will administer the mathematics and English language arts assessments in grade 9 in spring 2018, and is currently considering replacing the end-of-grade tests with end-of-course assessments in high school in the future. If the state moves to end-of-course assessments in the future, the state will submit an amendment to the ESSA plan.</w:t>
      </w:r>
    </w:p>
    <w:p w14:paraId="1361A8A2" w14:textId="77777777" w:rsidR="001B1050" w:rsidRPr="00D05740" w:rsidRDefault="001B1050" w:rsidP="001B1050">
      <w:pPr>
        <w:ind w:left="720"/>
        <w:rPr>
          <w:b/>
        </w:rPr>
      </w:pPr>
      <w:r w:rsidRPr="00D05740">
        <w:rPr>
          <w:rFonts w:ascii="Calibri" w:hAnsi="Calibri"/>
          <w:b/>
        </w:rPr>
        <w:t xml:space="preserve">ii. </w:t>
      </w:r>
      <w:r w:rsidRPr="00D05740">
        <w:rPr>
          <w:rFonts w:ascii="Calibri" w:hAnsi="Calibri"/>
          <w:b/>
        </w:rPr>
        <w:tab/>
      </w:r>
      <w:r w:rsidRPr="00D05740">
        <w:rPr>
          <w:b/>
        </w:rPr>
        <w:t>If a State responds “yes” to question 2(i), does the State wish to exempt an eighth-grade student who takes the high school mathematics course associated with the end-of-course assessment from the mathematics assessment typically administered in eighth grade under section 1111(b)(2)(B)(v)(I)(aa) of the ESEA and ensure that:</w:t>
      </w:r>
    </w:p>
    <w:p w14:paraId="0A46C2FE" w14:textId="77777777" w:rsidR="001B1050" w:rsidRDefault="005D2985" w:rsidP="001B1050">
      <w:pPr>
        <w:pStyle w:val="ListParagraph"/>
        <w:numPr>
          <w:ilvl w:val="1"/>
          <w:numId w:val="1"/>
        </w:numPr>
        <w:rPr>
          <w:rFonts w:ascii="Calibri" w:hAnsi="Calibri"/>
        </w:rPr>
      </w:pPr>
      <w:r w:rsidRPr="001B1050">
        <w:rPr>
          <w:rFonts w:ascii="Calibri" w:hAnsi="Calibri"/>
        </w:rPr>
        <w:lastRenderedPageBreak/>
        <w:t xml:space="preserve">The student instead takes the end-of-course mathematics assessment the State administers to high school students under section 1111(b)(2)(B)(v)(I)(bb) of the ESEA; </w:t>
      </w:r>
    </w:p>
    <w:p w14:paraId="63409F2B" w14:textId="77777777" w:rsidR="001B1050" w:rsidRDefault="005D2985" w:rsidP="001B1050">
      <w:pPr>
        <w:pStyle w:val="ListParagraph"/>
        <w:numPr>
          <w:ilvl w:val="1"/>
          <w:numId w:val="1"/>
        </w:numPr>
        <w:rPr>
          <w:rFonts w:ascii="Calibri" w:hAnsi="Calibri"/>
        </w:rPr>
      </w:pPr>
      <w:r w:rsidRPr="001B1050">
        <w:rPr>
          <w:rFonts w:ascii="Calibri" w:hAnsi="Calibri"/>
        </w:rPr>
        <w:t xml:space="preserve">The student’s performance on the high school assessment is used in the year in which the student takes the assessment for purposes of measuring academic achievement under section 1111(c)(4)(B)(i) of the ESEA and participation in assessments under section 1111(c)(4)(E) of the ESEA; </w:t>
      </w:r>
    </w:p>
    <w:p w14:paraId="509A1515" w14:textId="22604B97" w:rsidR="005D2985" w:rsidRPr="001B1050" w:rsidRDefault="005D2985" w:rsidP="001B1050">
      <w:pPr>
        <w:pStyle w:val="ListParagraph"/>
        <w:numPr>
          <w:ilvl w:val="1"/>
          <w:numId w:val="1"/>
        </w:numPr>
        <w:rPr>
          <w:rFonts w:ascii="Calibri" w:hAnsi="Calibri"/>
        </w:rPr>
      </w:pPr>
      <w:r w:rsidRPr="001B1050">
        <w:rPr>
          <w:rFonts w:ascii="Calibri" w:hAnsi="Calibri"/>
        </w:rPr>
        <w:t xml:space="preserve">In high school: </w:t>
      </w:r>
    </w:p>
    <w:p w14:paraId="42279D65" w14:textId="77777777" w:rsidR="005D2985" w:rsidRPr="001B1050" w:rsidRDefault="005D2985" w:rsidP="006E69A5">
      <w:pPr>
        <w:pStyle w:val="Default"/>
        <w:numPr>
          <w:ilvl w:val="2"/>
          <w:numId w:val="1"/>
        </w:numPr>
        <w:spacing w:after="23"/>
        <w:ind w:left="2880"/>
        <w:rPr>
          <w:rFonts w:ascii="Calibri" w:hAnsi="Calibri"/>
          <w:sz w:val="22"/>
          <w:szCs w:val="22"/>
        </w:rPr>
      </w:pPr>
      <w:r w:rsidRPr="001B1050">
        <w:rPr>
          <w:rFonts w:ascii="Calibri" w:hAnsi="Calibri"/>
          <w:sz w:val="22"/>
          <w:szCs w:val="22"/>
        </w:rPr>
        <w:t xml:space="preserve">The student takes a State-administered end-of-course assessment or nationally recognized high school academic assessment as defined in 34 CFR § 200.3(d) in mathematics that is more advanced than the assessment the State administers under section 1111(b)(2)(B)(v)(I)(bb) of the ESEA; </w:t>
      </w:r>
    </w:p>
    <w:p w14:paraId="04CE1292" w14:textId="77777777" w:rsidR="005D2985" w:rsidRPr="001B1050" w:rsidRDefault="005D2985" w:rsidP="006E69A5">
      <w:pPr>
        <w:pStyle w:val="Default"/>
        <w:numPr>
          <w:ilvl w:val="2"/>
          <w:numId w:val="1"/>
        </w:numPr>
        <w:spacing w:after="23"/>
        <w:ind w:left="2880"/>
        <w:rPr>
          <w:rFonts w:ascii="Calibri" w:hAnsi="Calibri"/>
          <w:sz w:val="22"/>
          <w:szCs w:val="22"/>
        </w:rPr>
      </w:pPr>
      <w:r w:rsidRPr="001B1050">
        <w:rPr>
          <w:rFonts w:ascii="Calibri" w:hAnsi="Calibri"/>
          <w:sz w:val="22"/>
          <w:szCs w:val="22"/>
        </w:rPr>
        <w:t xml:space="preserve">The State provides for appropriate accommodations consistent with 34 CFR § 200.6(b) and (f); and </w:t>
      </w:r>
    </w:p>
    <w:p w14:paraId="70AB2D93" w14:textId="77777777" w:rsidR="005D2985" w:rsidRPr="001B1050" w:rsidRDefault="005D2985" w:rsidP="006E69A5">
      <w:pPr>
        <w:pStyle w:val="Default"/>
        <w:numPr>
          <w:ilvl w:val="2"/>
          <w:numId w:val="1"/>
        </w:numPr>
        <w:ind w:left="2880"/>
        <w:rPr>
          <w:rFonts w:ascii="Calibri" w:hAnsi="Calibri"/>
          <w:sz w:val="22"/>
          <w:szCs w:val="22"/>
        </w:rPr>
      </w:pPr>
      <w:r w:rsidRPr="001B1050">
        <w:rPr>
          <w:rFonts w:ascii="Calibri" w:hAnsi="Calibri"/>
          <w:sz w:val="22"/>
          <w:szCs w:val="22"/>
        </w:rPr>
        <w:t>The student’s performance on the more advanced mathematics assessment is used for purposes of measuring academic achievement under section 1111(c</w:t>
      </w:r>
      <w:proofErr w:type="gramStart"/>
      <w:r w:rsidRPr="001B1050">
        <w:rPr>
          <w:rFonts w:ascii="Calibri" w:hAnsi="Calibri"/>
          <w:sz w:val="22"/>
          <w:szCs w:val="22"/>
        </w:rPr>
        <w:t>)(</w:t>
      </w:r>
      <w:proofErr w:type="gramEnd"/>
      <w:r w:rsidRPr="001B1050">
        <w:rPr>
          <w:rFonts w:ascii="Calibri" w:hAnsi="Calibri"/>
          <w:sz w:val="22"/>
          <w:szCs w:val="22"/>
        </w:rPr>
        <w:t xml:space="preserve">4)(B)(i) of the ESEA and participation in assessments under section 1111(c)(4)(E) of the ESEA. </w:t>
      </w:r>
    </w:p>
    <w:p w14:paraId="35B8D3B3" w14:textId="77777777" w:rsidR="005D2985" w:rsidRPr="00060806" w:rsidRDefault="00A12A18" w:rsidP="005D2985">
      <w:pPr>
        <w:pStyle w:val="Default"/>
        <w:ind w:left="720"/>
        <w:rPr>
          <w:rFonts w:ascii="Calibri" w:hAnsi="Calibri"/>
          <w:sz w:val="22"/>
          <w:szCs w:val="22"/>
        </w:rPr>
      </w:pPr>
      <w:sdt>
        <w:sdtPr>
          <w:rPr>
            <w:rFonts w:ascii="Calibri" w:hAnsi="Calibri"/>
            <w:sz w:val="22"/>
            <w:szCs w:val="22"/>
          </w:rPr>
          <w:id w:val="-663466012"/>
          <w14:checkbox>
            <w14:checked w14:val="0"/>
            <w14:checkedState w14:val="2612" w14:font="MS Gothic"/>
            <w14:uncheckedState w14:val="2610" w14:font="MS Gothic"/>
          </w14:checkbox>
        </w:sdtPr>
        <w:sdtEndPr/>
        <w:sdtContent>
          <w:r w:rsidR="005D2985">
            <w:rPr>
              <w:rFonts w:ascii="MS Gothic" w:eastAsia="MS Gothic" w:hAnsi="MS Gothic" w:hint="eastAsia"/>
              <w:sz w:val="22"/>
              <w:szCs w:val="22"/>
            </w:rPr>
            <w:t>☐</w:t>
          </w:r>
        </w:sdtContent>
      </w:sdt>
      <w:r w:rsidR="005D2985" w:rsidRPr="00060806">
        <w:rPr>
          <w:rFonts w:ascii="Calibri" w:hAnsi="Calibri"/>
          <w:sz w:val="22"/>
          <w:szCs w:val="22"/>
        </w:rPr>
        <w:t xml:space="preserve">Yes </w:t>
      </w:r>
    </w:p>
    <w:p w14:paraId="424F688C" w14:textId="77777777" w:rsidR="00C85656" w:rsidRDefault="00A12A18" w:rsidP="00C85656">
      <w:pPr>
        <w:ind w:left="720"/>
        <w:rPr>
          <w:rFonts w:ascii="Calibri" w:hAnsi="Calibri"/>
        </w:rPr>
      </w:pPr>
      <w:sdt>
        <w:sdtPr>
          <w:rPr>
            <w:rFonts w:ascii="Calibri" w:hAnsi="Calibri"/>
          </w:rPr>
          <w:id w:val="595680051"/>
          <w14:checkbox>
            <w14:checked w14:val="0"/>
            <w14:checkedState w14:val="2612" w14:font="MS Gothic"/>
            <w14:uncheckedState w14:val="2610" w14:font="MS Gothic"/>
          </w14:checkbox>
        </w:sdtPr>
        <w:sdtEndPr/>
        <w:sdtContent>
          <w:r w:rsidR="005D2985">
            <w:rPr>
              <w:rFonts w:ascii="MS Gothic" w:eastAsia="MS Gothic" w:hAnsi="MS Gothic" w:hint="eastAsia"/>
            </w:rPr>
            <w:t>☐</w:t>
          </w:r>
        </w:sdtContent>
      </w:sdt>
      <w:r w:rsidR="005D2985" w:rsidRPr="00060806">
        <w:rPr>
          <w:rFonts w:ascii="Calibri" w:hAnsi="Calibri"/>
        </w:rPr>
        <w:t>No</w:t>
      </w:r>
    </w:p>
    <w:p w14:paraId="7D2B0531" w14:textId="18C46B27" w:rsidR="005D2985" w:rsidRDefault="005D2985" w:rsidP="00C85656">
      <w:pPr>
        <w:ind w:left="720"/>
        <w:rPr>
          <w:rFonts w:ascii="Calibri" w:hAnsi="Calibri"/>
        </w:rPr>
      </w:pPr>
      <w:r>
        <w:rPr>
          <w:rFonts w:ascii="Calibri" w:hAnsi="Calibri"/>
        </w:rPr>
        <w:t>Not applicable at this time.</w:t>
      </w:r>
    </w:p>
    <w:p w14:paraId="624C2EA6" w14:textId="77777777" w:rsidR="005D2985" w:rsidRDefault="005D2985" w:rsidP="005D2985">
      <w:pPr>
        <w:pStyle w:val="Default"/>
        <w:ind w:left="720"/>
        <w:rPr>
          <w:rFonts w:ascii="Calibri" w:hAnsi="Calibri"/>
          <w:sz w:val="22"/>
          <w:szCs w:val="22"/>
        </w:rPr>
      </w:pPr>
    </w:p>
    <w:p w14:paraId="4DE00966" w14:textId="150B9C1A" w:rsidR="005D2985" w:rsidRPr="00D05740" w:rsidRDefault="005D2985" w:rsidP="006641B6">
      <w:pPr>
        <w:pStyle w:val="ListParagraph"/>
        <w:numPr>
          <w:ilvl w:val="0"/>
          <w:numId w:val="85"/>
        </w:numPr>
        <w:rPr>
          <w:b/>
        </w:rPr>
      </w:pPr>
      <w:r w:rsidRPr="00D05740">
        <w:rPr>
          <w:b/>
        </w:rPr>
        <w:t xml:space="preserve">If a State responds “yes” to question 2(ii), consistent with 34 CFR § 200.5(b)(4), describe, with regard to this exception, its strategies to provide all students in the State the opportunity to be prepared for and to take advanced mathematics coursework in middle school. </w:t>
      </w:r>
    </w:p>
    <w:p w14:paraId="596B895A" w14:textId="1D44D8D1" w:rsidR="005D2985" w:rsidRDefault="005D2985" w:rsidP="005D2985">
      <w:pPr>
        <w:pStyle w:val="Default"/>
        <w:rPr>
          <w:rFonts w:ascii="Calibri" w:hAnsi="Calibri"/>
          <w:sz w:val="22"/>
          <w:szCs w:val="22"/>
        </w:rPr>
      </w:pPr>
    </w:p>
    <w:p w14:paraId="4EA6FBED" w14:textId="2AA3F6FE" w:rsidR="005D2985" w:rsidRDefault="005D2985" w:rsidP="00C85656">
      <w:pPr>
        <w:ind w:left="360" w:firstLine="360"/>
        <w:rPr>
          <w:rFonts w:ascii="Calibri" w:hAnsi="Calibri"/>
        </w:rPr>
      </w:pPr>
      <w:r>
        <w:rPr>
          <w:rFonts w:ascii="Calibri" w:hAnsi="Calibri"/>
        </w:rPr>
        <w:t>Not applicable at this time.</w:t>
      </w:r>
    </w:p>
    <w:p w14:paraId="6F474723" w14:textId="34FDA50C" w:rsidR="0064319B" w:rsidRDefault="0064319B">
      <w:pPr>
        <w:rPr>
          <w:rFonts w:ascii="Calibri" w:hAnsi="Calibri"/>
        </w:rPr>
      </w:pPr>
      <w:r>
        <w:rPr>
          <w:rFonts w:ascii="Calibri" w:hAnsi="Calibri"/>
        </w:rPr>
        <w:br w:type="page"/>
      </w:r>
    </w:p>
    <w:p w14:paraId="6DCC5C4A" w14:textId="34D6FDED" w:rsidR="00C85656" w:rsidRPr="001B1050" w:rsidRDefault="00C85656" w:rsidP="006641B6">
      <w:pPr>
        <w:pStyle w:val="Heading2"/>
        <w:numPr>
          <w:ilvl w:val="0"/>
          <w:numId w:val="87"/>
        </w:numPr>
      </w:pPr>
      <w:bookmarkStart w:id="5" w:name="_Toc6231622"/>
      <w:r w:rsidRPr="001B1050">
        <w:lastRenderedPageBreak/>
        <w:t>Native Language Assessments (ESEA section 1111(b</w:t>
      </w:r>
      <w:proofErr w:type="gramStart"/>
      <w:r w:rsidRPr="001B1050">
        <w:t>)(</w:t>
      </w:r>
      <w:proofErr w:type="gramEnd"/>
      <w:r w:rsidRPr="001B1050">
        <w:t>2)(F) and 34 CFR § 200.6(f)(2)(ii)) and (f)(4):</w:t>
      </w:r>
      <w:bookmarkEnd w:id="5"/>
    </w:p>
    <w:p w14:paraId="03E4DA59" w14:textId="1874FB22" w:rsidR="00C85656" w:rsidRPr="00D05740" w:rsidRDefault="00C85656" w:rsidP="006641B6">
      <w:pPr>
        <w:pStyle w:val="ListParagraph"/>
        <w:numPr>
          <w:ilvl w:val="0"/>
          <w:numId w:val="86"/>
        </w:numPr>
        <w:ind w:left="1080"/>
        <w:rPr>
          <w:b/>
        </w:rPr>
      </w:pPr>
      <w:r w:rsidRPr="00D05740">
        <w:rPr>
          <w:b/>
        </w:rPr>
        <w:t xml:space="preserve">Provide its definition for “languages other than English that are present to a significant extent in the participating student population,” and identify the specific languages that meet that definition. </w:t>
      </w:r>
    </w:p>
    <w:p w14:paraId="561E8051" w14:textId="26664BCB" w:rsidR="00C85656" w:rsidRPr="005428E5" w:rsidRDefault="00C85656" w:rsidP="00C85656">
      <w:pPr>
        <w:rPr>
          <w:rFonts w:ascii="Calibri" w:eastAsia="Calibri" w:hAnsi="Calibri" w:cs="Calibri"/>
          <w:spacing w:val="-1"/>
        </w:rPr>
      </w:pPr>
      <w:r>
        <w:rPr>
          <w:rFonts w:ascii="Calibri" w:eastAsia="Calibri" w:hAnsi="Calibri" w:cs="Calibri"/>
          <w:spacing w:val="-1"/>
        </w:rPr>
        <w:t xml:space="preserve">Twelve percent of the 69,512 Alaska students enrolled in grades 3-9 (tested grades) on October 1, 2016, were identified as English learners (8,346 students). Statewide, </w:t>
      </w:r>
      <w:proofErr w:type="spellStart"/>
      <w:r>
        <w:rPr>
          <w:rFonts w:ascii="Calibri" w:eastAsia="Calibri" w:hAnsi="Calibri" w:cs="Calibri"/>
          <w:spacing w:val="-1"/>
        </w:rPr>
        <w:t>Yup’ik</w:t>
      </w:r>
      <w:proofErr w:type="spellEnd"/>
      <w:r>
        <w:rPr>
          <w:rFonts w:ascii="Calibri" w:eastAsia="Calibri" w:hAnsi="Calibri" w:cs="Calibri"/>
          <w:spacing w:val="-1"/>
        </w:rPr>
        <w:t xml:space="preserve"> is the language represented by the greatest percentage of English learners (3,584, or 42.9%). The chart and graphs below shows the other languages that are represented by Alaska’s EL student popula</w:t>
      </w:r>
      <w:r w:rsidR="005428E5">
        <w:rPr>
          <w:rFonts w:ascii="Calibri" w:eastAsia="Calibri" w:hAnsi="Calibri" w:cs="Calibri"/>
          <w:spacing w:val="-1"/>
        </w:rPr>
        <w:t xml:space="preserve">tion in the tested grades. </w:t>
      </w:r>
    </w:p>
    <w:p w14:paraId="6B2D807C" w14:textId="77777777" w:rsidR="00C85656" w:rsidRPr="00CF6C62" w:rsidRDefault="00C85656" w:rsidP="00C85656">
      <w:pPr>
        <w:jc w:val="center"/>
        <w:rPr>
          <w:rFonts w:ascii="Calibri" w:eastAsia="Calibri" w:hAnsi="Calibri" w:cs="Calibri"/>
          <w:b/>
          <w:spacing w:val="-1"/>
        </w:rPr>
      </w:pPr>
      <w:r w:rsidRPr="00CF6C62">
        <w:rPr>
          <w:rFonts w:ascii="Calibri" w:eastAsia="Calibri" w:hAnsi="Calibri" w:cs="Calibri"/>
          <w:b/>
          <w:spacing w:val="-1"/>
        </w:rPr>
        <w:t>Statewide English Learner (EL) Language Prevalence for Students Enrolled in Grades 3-9</w:t>
      </w:r>
    </w:p>
    <w:p w14:paraId="6196E4A3" w14:textId="6DF1B760" w:rsidR="00C85656" w:rsidRPr="00C85656" w:rsidRDefault="00C85656" w:rsidP="00C85656">
      <w:pPr>
        <w:jc w:val="center"/>
        <w:rPr>
          <w:rFonts w:ascii="Calibri" w:eastAsia="Calibri" w:hAnsi="Calibri" w:cs="Calibri"/>
          <w:b/>
          <w:spacing w:val="-1"/>
        </w:rPr>
      </w:pPr>
      <w:r w:rsidRPr="00CF6C62">
        <w:rPr>
          <w:rFonts w:ascii="Calibri" w:eastAsia="Calibri" w:hAnsi="Calibri" w:cs="Calibri"/>
          <w:b/>
          <w:spacing w:val="-1"/>
        </w:rPr>
        <w:t>For Stude</w:t>
      </w:r>
      <w:r>
        <w:rPr>
          <w:rFonts w:ascii="Calibri" w:eastAsia="Calibri" w:hAnsi="Calibri" w:cs="Calibri"/>
          <w:b/>
          <w:spacing w:val="-1"/>
        </w:rPr>
        <w:t>nts Enrolled on October 1, 2016</w:t>
      </w:r>
    </w:p>
    <w:tbl>
      <w:tblPr>
        <w:tblW w:w="6260" w:type="dxa"/>
        <w:jc w:val="center"/>
        <w:tblLook w:val="04A0" w:firstRow="1" w:lastRow="0" w:firstColumn="1" w:lastColumn="0" w:noHBand="0" w:noVBand="1"/>
        <w:tblCaption w:val="Statewide English Learner Language Prevalence Table"/>
        <w:tblDescription w:val="Table showing the number and % of English Language Learners in Alaska based on October 1, 2016 student enrollment"/>
      </w:tblPr>
      <w:tblGrid>
        <w:gridCol w:w="2351"/>
        <w:gridCol w:w="829"/>
        <w:gridCol w:w="1540"/>
        <w:gridCol w:w="1540"/>
      </w:tblGrid>
      <w:tr w:rsidR="00C85656" w:rsidRPr="00CF6C62" w14:paraId="06A2287A" w14:textId="77777777" w:rsidTr="00C85656">
        <w:trPr>
          <w:trHeight w:val="615"/>
          <w:tblHeader/>
          <w:jc w:val="center"/>
        </w:trPr>
        <w:tc>
          <w:tcPr>
            <w:tcW w:w="2480" w:type="dxa"/>
            <w:tcBorders>
              <w:top w:val="single" w:sz="4" w:space="0" w:color="auto"/>
              <w:left w:val="single" w:sz="4" w:space="0" w:color="auto"/>
              <w:bottom w:val="nil"/>
              <w:right w:val="single" w:sz="4" w:space="0" w:color="auto"/>
            </w:tcBorders>
            <w:shd w:val="clear" w:color="auto" w:fill="auto"/>
            <w:vAlign w:val="center"/>
            <w:hideMark/>
          </w:tcPr>
          <w:p w14:paraId="74CE2684"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Language</w:t>
            </w:r>
          </w:p>
        </w:tc>
        <w:tc>
          <w:tcPr>
            <w:tcW w:w="700" w:type="dxa"/>
            <w:tcBorders>
              <w:top w:val="single" w:sz="4" w:space="0" w:color="auto"/>
              <w:left w:val="nil"/>
              <w:bottom w:val="nil"/>
              <w:right w:val="single" w:sz="4" w:space="0" w:color="auto"/>
            </w:tcBorders>
            <w:shd w:val="clear" w:color="auto" w:fill="auto"/>
            <w:vAlign w:val="center"/>
            <w:hideMark/>
          </w:tcPr>
          <w:p w14:paraId="23A885F9"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Count</w:t>
            </w:r>
          </w:p>
        </w:tc>
        <w:tc>
          <w:tcPr>
            <w:tcW w:w="1540" w:type="dxa"/>
            <w:tcBorders>
              <w:top w:val="single" w:sz="4" w:space="0" w:color="auto"/>
              <w:left w:val="nil"/>
              <w:bottom w:val="nil"/>
              <w:right w:val="single" w:sz="4" w:space="0" w:color="auto"/>
            </w:tcBorders>
            <w:shd w:val="clear" w:color="auto" w:fill="auto"/>
            <w:vAlign w:val="center"/>
            <w:hideMark/>
          </w:tcPr>
          <w:p w14:paraId="13286A37"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 of Grades 3-9 ELs</w:t>
            </w:r>
          </w:p>
        </w:tc>
        <w:tc>
          <w:tcPr>
            <w:tcW w:w="1540" w:type="dxa"/>
            <w:tcBorders>
              <w:top w:val="single" w:sz="4" w:space="0" w:color="auto"/>
              <w:left w:val="nil"/>
              <w:bottom w:val="nil"/>
              <w:right w:val="single" w:sz="4" w:space="0" w:color="auto"/>
            </w:tcBorders>
            <w:shd w:val="clear" w:color="auto" w:fill="auto"/>
            <w:vAlign w:val="center"/>
            <w:hideMark/>
          </w:tcPr>
          <w:p w14:paraId="107F81C5"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 of Grades 3-9 students</w:t>
            </w:r>
          </w:p>
        </w:tc>
      </w:tr>
      <w:tr w:rsidR="00C85656" w:rsidRPr="00CF6C62" w14:paraId="6258BC3F" w14:textId="77777777" w:rsidTr="00BB00CD">
        <w:trPr>
          <w:trHeight w:val="345"/>
          <w:jc w:val="center"/>
        </w:trPr>
        <w:tc>
          <w:tcPr>
            <w:tcW w:w="24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5F795DB"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Yup'ik</w:t>
            </w:r>
            <w:r w:rsidRPr="00CF6C62">
              <w:rPr>
                <w:rFonts w:ascii="Calibri" w:eastAsia="Times New Roman" w:hAnsi="Calibri" w:cs="Times New Roman"/>
                <w:color w:val="000000"/>
                <w:vertAlign w:val="superscript"/>
              </w:rPr>
              <w:t>1</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14:paraId="563CBB9D"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3,584</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72F653B1"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42.9%</w:t>
            </w:r>
          </w:p>
        </w:tc>
        <w:tc>
          <w:tcPr>
            <w:tcW w:w="1540" w:type="dxa"/>
            <w:tcBorders>
              <w:top w:val="single" w:sz="8" w:space="0" w:color="auto"/>
              <w:left w:val="nil"/>
              <w:bottom w:val="single" w:sz="4" w:space="0" w:color="auto"/>
              <w:right w:val="single" w:sz="8" w:space="0" w:color="auto"/>
            </w:tcBorders>
            <w:shd w:val="clear" w:color="auto" w:fill="auto"/>
            <w:noWrap/>
            <w:vAlign w:val="center"/>
            <w:hideMark/>
          </w:tcPr>
          <w:p w14:paraId="6EF5AF73"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5.2%</w:t>
            </w:r>
          </w:p>
        </w:tc>
      </w:tr>
      <w:tr w:rsidR="00C85656" w:rsidRPr="00CF6C62" w14:paraId="5FA93459"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013AA544"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Spanish</w:t>
            </w:r>
          </w:p>
        </w:tc>
        <w:tc>
          <w:tcPr>
            <w:tcW w:w="700" w:type="dxa"/>
            <w:tcBorders>
              <w:top w:val="nil"/>
              <w:left w:val="nil"/>
              <w:bottom w:val="single" w:sz="4" w:space="0" w:color="auto"/>
              <w:right w:val="single" w:sz="4" w:space="0" w:color="auto"/>
            </w:tcBorders>
            <w:shd w:val="clear" w:color="auto" w:fill="auto"/>
            <w:noWrap/>
            <w:vAlign w:val="center"/>
            <w:hideMark/>
          </w:tcPr>
          <w:p w14:paraId="41E2D627"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882</w:t>
            </w:r>
          </w:p>
        </w:tc>
        <w:tc>
          <w:tcPr>
            <w:tcW w:w="1540" w:type="dxa"/>
            <w:tcBorders>
              <w:top w:val="nil"/>
              <w:left w:val="nil"/>
              <w:bottom w:val="single" w:sz="4" w:space="0" w:color="auto"/>
              <w:right w:val="single" w:sz="4" w:space="0" w:color="auto"/>
            </w:tcBorders>
            <w:shd w:val="clear" w:color="auto" w:fill="auto"/>
            <w:noWrap/>
            <w:vAlign w:val="center"/>
            <w:hideMark/>
          </w:tcPr>
          <w:p w14:paraId="363E75B4"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10.6%</w:t>
            </w:r>
          </w:p>
        </w:tc>
        <w:tc>
          <w:tcPr>
            <w:tcW w:w="1540" w:type="dxa"/>
            <w:tcBorders>
              <w:top w:val="nil"/>
              <w:left w:val="nil"/>
              <w:bottom w:val="single" w:sz="4" w:space="0" w:color="auto"/>
              <w:right w:val="single" w:sz="8" w:space="0" w:color="auto"/>
            </w:tcBorders>
            <w:shd w:val="clear" w:color="auto" w:fill="auto"/>
            <w:noWrap/>
            <w:vAlign w:val="center"/>
            <w:hideMark/>
          </w:tcPr>
          <w:p w14:paraId="15365009"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1.3%</w:t>
            </w:r>
          </w:p>
        </w:tc>
      </w:tr>
      <w:tr w:rsidR="00C85656" w:rsidRPr="00CF6C62" w14:paraId="3CAE295C" w14:textId="77777777" w:rsidTr="00BB00CD">
        <w:trPr>
          <w:trHeight w:val="345"/>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794A1451"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Filipino</w:t>
            </w:r>
            <w:r w:rsidRPr="00CF6C62">
              <w:rPr>
                <w:rFonts w:ascii="Calibri" w:eastAsia="Times New Roman" w:hAnsi="Calibri" w:cs="Times New Roman"/>
                <w:color w:val="000000"/>
                <w:vertAlign w:val="superscript"/>
              </w:rPr>
              <w:t>2</w:t>
            </w:r>
          </w:p>
        </w:tc>
        <w:tc>
          <w:tcPr>
            <w:tcW w:w="700" w:type="dxa"/>
            <w:tcBorders>
              <w:top w:val="nil"/>
              <w:left w:val="nil"/>
              <w:bottom w:val="single" w:sz="4" w:space="0" w:color="auto"/>
              <w:right w:val="single" w:sz="4" w:space="0" w:color="auto"/>
            </w:tcBorders>
            <w:shd w:val="clear" w:color="auto" w:fill="auto"/>
            <w:noWrap/>
            <w:vAlign w:val="center"/>
            <w:hideMark/>
          </w:tcPr>
          <w:p w14:paraId="29FA6D66"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730</w:t>
            </w:r>
          </w:p>
        </w:tc>
        <w:tc>
          <w:tcPr>
            <w:tcW w:w="1540" w:type="dxa"/>
            <w:tcBorders>
              <w:top w:val="nil"/>
              <w:left w:val="nil"/>
              <w:bottom w:val="single" w:sz="4" w:space="0" w:color="auto"/>
              <w:right w:val="single" w:sz="4" w:space="0" w:color="auto"/>
            </w:tcBorders>
            <w:shd w:val="clear" w:color="auto" w:fill="auto"/>
            <w:noWrap/>
            <w:vAlign w:val="center"/>
            <w:hideMark/>
          </w:tcPr>
          <w:p w14:paraId="0743B335"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8.7%</w:t>
            </w:r>
          </w:p>
        </w:tc>
        <w:tc>
          <w:tcPr>
            <w:tcW w:w="1540" w:type="dxa"/>
            <w:tcBorders>
              <w:top w:val="nil"/>
              <w:left w:val="nil"/>
              <w:bottom w:val="single" w:sz="4" w:space="0" w:color="auto"/>
              <w:right w:val="single" w:sz="8" w:space="0" w:color="auto"/>
            </w:tcBorders>
            <w:shd w:val="clear" w:color="auto" w:fill="auto"/>
            <w:noWrap/>
            <w:vAlign w:val="center"/>
            <w:hideMark/>
          </w:tcPr>
          <w:p w14:paraId="4B3EA0DD"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1.1%</w:t>
            </w:r>
          </w:p>
        </w:tc>
      </w:tr>
      <w:tr w:rsidR="00C85656" w:rsidRPr="00CF6C62" w14:paraId="7797B352"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0075778E"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Samoan</w:t>
            </w:r>
          </w:p>
        </w:tc>
        <w:tc>
          <w:tcPr>
            <w:tcW w:w="700" w:type="dxa"/>
            <w:tcBorders>
              <w:top w:val="nil"/>
              <w:left w:val="nil"/>
              <w:bottom w:val="single" w:sz="4" w:space="0" w:color="auto"/>
              <w:right w:val="single" w:sz="4" w:space="0" w:color="auto"/>
            </w:tcBorders>
            <w:shd w:val="clear" w:color="auto" w:fill="auto"/>
            <w:noWrap/>
            <w:vAlign w:val="center"/>
            <w:hideMark/>
          </w:tcPr>
          <w:p w14:paraId="357840DA"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717</w:t>
            </w:r>
          </w:p>
        </w:tc>
        <w:tc>
          <w:tcPr>
            <w:tcW w:w="1540" w:type="dxa"/>
            <w:tcBorders>
              <w:top w:val="nil"/>
              <w:left w:val="nil"/>
              <w:bottom w:val="single" w:sz="4" w:space="0" w:color="auto"/>
              <w:right w:val="single" w:sz="4" w:space="0" w:color="auto"/>
            </w:tcBorders>
            <w:shd w:val="clear" w:color="auto" w:fill="auto"/>
            <w:noWrap/>
            <w:vAlign w:val="center"/>
            <w:hideMark/>
          </w:tcPr>
          <w:p w14:paraId="615CC2DC"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8.6%</w:t>
            </w:r>
          </w:p>
        </w:tc>
        <w:tc>
          <w:tcPr>
            <w:tcW w:w="1540" w:type="dxa"/>
            <w:tcBorders>
              <w:top w:val="nil"/>
              <w:left w:val="nil"/>
              <w:bottom w:val="single" w:sz="4" w:space="0" w:color="auto"/>
              <w:right w:val="single" w:sz="8" w:space="0" w:color="auto"/>
            </w:tcBorders>
            <w:shd w:val="clear" w:color="auto" w:fill="auto"/>
            <w:noWrap/>
            <w:vAlign w:val="center"/>
            <w:hideMark/>
          </w:tcPr>
          <w:p w14:paraId="3EAC6B28"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1.0%</w:t>
            </w:r>
          </w:p>
        </w:tc>
      </w:tr>
      <w:tr w:rsidR="00C85656" w:rsidRPr="00CF6C62" w14:paraId="7B7A5F01"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11C7502C"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Inupiaq</w:t>
            </w:r>
          </w:p>
        </w:tc>
        <w:tc>
          <w:tcPr>
            <w:tcW w:w="700" w:type="dxa"/>
            <w:tcBorders>
              <w:top w:val="nil"/>
              <w:left w:val="nil"/>
              <w:bottom w:val="single" w:sz="4" w:space="0" w:color="auto"/>
              <w:right w:val="single" w:sz="4" w:space="0" w:color="auto"/>
            </w:tcBorders>
            <w:shd w:val="clear" w:color="auto" w:fill="auto"/>
            <w:noWrap/>
            <w:vAlign w:val="center"/>
            <w:hideMark/>
          </w:tcPr>
          <w:p w14:paraId="265B535F"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699</w:t>
            </w:r>
          </w:p>
        </w:tc>
        <w:tc>
          <w:tcPr>
            <w:tcW w:w="1540" w:type="dxa"/>
            <w:tcBorders>
              <w:top w:val="nil"/>
              <w:left w:val="nil"/>
              <w:bottom w:val="single" w:sz="4" w:space="0" w:color="auto"/>
              <w:right w:val="single" w:sz="4" w:space="0" w:color="auto"/>
            </w:tcBorders>
            <w:shd w:val="clear" w:color="auto" w:fill="auto"/>
            <w:noWrap/>
            <w:vAlign w:val="center"/>
            <w:hideMark/>
          </w:tcPr>
          <w:p w14:paraId="189A1D82"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8.4%</w:t>
            </w:r>
          </w:p>
        </w:tc>
        <w:tc>
          <w:tcPr>
            <w:tcW w:w="1540" w:type="dxa"/>
            <w:tcBorders>
              <w:top w:val="nil"/>
              <w:left w:val="nil"/>
              <w:bottom w:val="single" w:sz="4" w:space="0" w:color="auto"/>
              <w:right w:val="single" w:sz="8" w:space="0" w:color="auto"/>
            </w:tcBorders>
            <w:shd w:val="clear" w:color="auto" w:fill="auto"/>
            <w:noWrap/>
            <w:vAlign w:val="center"/>
            <w:hideMark/>
          </w:tcPr>
          <w:p w14:paraId="6B6ACE54"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1.0%</w:t>
            </w:r>
          </w:p>
        </w:tc>
      </w:tr>
      <w:tr w:rsidR="00C85656" w:rsidRPr="00CF6C62" w14:paraId="74CC37AB"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209B982F"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Hmong</w:t>
            </w:r>
          </w:p>
        </w:tc>
        <w:tc>
          <w:tcPr>
            <w:tcW w:w="700" w:type="dxa"/>
            <w:tcBorders>
              <w:top w:val="nil"/>
              <w:left w:val="nil"/>
              <w:bottom w:val="single" w:sz="4" w:space="0" w:color="auto"/>
              <w:right w:val="single" w:sz="4" w:space="0" w:color="auto"/>
            </w:tcBorders>
            <w:shd w:val="clear" w:color="auto" w:fill="auto"/>
            <w:noWrap/>
            <w:vAlign w:val="center"/>
            <w:hideMark/>
          </w:tcPr>
          <w:p w14:paraId="0C2A0F6E"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568</w:t>
            </w:r>
          </w:p>
        </w:tc>
        <w:tc>
          <w:tcPr>
            <w:tcW w:w="1540" w:type="dxa"/>
            <w:tcBorders>
              <w:top w:val="nil"/>
              <w:left w:val="nil"/>
              <w:bottom w:val="single" w:sz="4" w:space="0" w:color="auto"/>
              <w:right w:val="single" w:sz="4" w:space="0" w:color="auto"/>
            </w:tcBorders>
            <w:shd w:val="clear" w:color="auto" w:fill="auto"/>
            <w:noWrap/>
            <w:vAlign w:val="center"/>
            <w:hideMark/>
          </w:tcPr>
          <w:p w14:paraId="449EA5F5"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6.8%</w:t>
            </w:r>
          </w:p>
        </w:tc>
        <w:tc>
          <w:tcPr>
            <w:tcW w:w="1540" w:type="dxa"/>
            <w:tcBorders>
              <w:top w:val="nil"/>
              <w:left w:val="nil"/>
              <w:bottom w:val="single" w:sz="4" w:space="0" w:color="auto"/>
              <w:right w:val="single" w:sz="8" w:space="0" w:color="auto"/>
            </w:tcBorders>
            <w:shd w:val="clear" w:color="auto" w:fill="auto"/>
            <w:noWrap/>
            <w:vAlign w:val="center"/>
            <w:hideMark/>
          </w:tcPr>
          <w:p w14:paraId="15518E49"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0.8%</w:t>
            </w:r>
          </w:p>
        </w:tc>
      </w:tr>
      <w:tr w:rsidR="00C85656" w:rsidRPr="00CF6C62" w14:paraId="6241202E"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5980A151"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Russian</w:t>
            </w:r>
          </w:p>
        </w:tc>
        <w:tc>
          <w:tcPr>
            <w:tcW w:w="700" w:type="dxa"/>
            <w:tcBorders>
              <w:top w:val="nil"/>
              <w:left w:val="nil"/>
              <w:bottom w:val="single" w:sz="4" w:space="0" w:color="auto"/>
              <w:right w:val="single" w:sz="4" w:space="0" w:color="auto"/>
            </w:tcBorders>
            <w:shd w:val="clear" w:color="auto" w:fill="auto"/>
            <w:noWrap/>
            <w:vAlign w:val="center"/>
            <w:hideMark/>
          </w:tcPr>
          <w:p w14:paraId="36B9868E"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265</w:t>
            </w:r>
          </w:p>
        </w:tc>
        <w:tc>
          <w:tcPr>
            <w:tcW w:w="1540" w:type="dxa"/>
            <w:tcBorders>
              <w:top w:val="nil"/>
              <w:left w:val="nil"/>
              <w:bottom w:val="single" w:sz="4" w:space="0" w:color="auto"/>
              <w:right w:val="single" w:sz="4" w:space="0" w:color="auto"/>
            </w:tcBorders>
            <w:shd w:val="clear" w:color="auto" w:fill="auto"/>
            <w:noWrap/>
            <w:vAlign w:val="center"/>
            <w:hideMark/>
          </w:tcPr>
          <w:p w14:paraId="066BBF2B"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3.2%</w:t>
            </w:r>
          </w:p>
        </w:tc>
        <w:tc>
          <w:tcPr>
            <w:tcW w:w="1540" w:type="dxa"/>
            <w:tcBorders>
              <w:top w:val="nil"/>
              <w:left w:val="nil"/>
              <w:bottom w:val="single" w:sz="4" w:space="0" w:color="auto"/>
              <w:right w:val="single" w:sz="8" w:space="0" w:color="auto"/>
            </w:tcBorders>
            <w:shd w:val="clear" w:color="auto" w:fill="auto"/>
            <w:noWrap/>
            <w:vAlign w:val="center"/>
            <w:hideMark/>
          </w:tcPr>
          <w:p w14:paraId="6E919655"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0.4%</w:t>
            </w:r>
          </w:p>
        </w:tc>
      </w:tr>
      <w:tr w:rsidR="00C85656" w:rsidRPr="00CF6C62" w14:paraId="0D90F3B0" w14:textId="77777777" w:rsidTr="00BB00CD">
        <w:trPr>
          <w:trHeight w:val="345"/>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777C74BA"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Athabascan</w:t>
            </w:r>
            <w:r w:rsidRPr="00CF6C62">
              <w:rPr>
                <w:rFonts w:ascii="Calibri" w:eastAsia="Times New Roman" w:hAnsi="Calibri" w:cs="Times New Roman"/>
                <w:color w:val="000000"/>
                <w:vertAlign w:val="superscript"/>
              </w:rPr>
              <w:t>3</w:t>
            </w:r>
          </w:p>
        </w:tc>
        <w:tc>
          <w:tcPr>
            <w:tcW w:w="700" w:type="dxa"/>
            <w:tcBorders>
              <w:top w:val="nil"/>
              <w:left w:val="nil"/>
              <w:bottom w:val="single" w:sz="4" w:space="0" w:color="auto"/>
              <w:right w:val="single" w:sz="4" w:space="0" w:color="auto"/>
            </w:tcBorders>
            <w:shd w:val="clear" w:color="auto" w:fill="auto"/>
            <w:noWrap/>
            <w:vAlign w:val="center"/>
            <w:hideMark/>
          </w:tcPr>
          <w:p w14:paraId="7C96F29C"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135</w:t>
            </w:r>
          </w:p>
        </w:tc>
        <w:tc>
          <w:tcPr>
            <w:tcW w:w="1540" w:type="dxa"/>
            <w:tcBorders>
              <w:top w:val="nil"/>
              <w:left w:val="nil"/>
              <w:bottom w:val="single" w:sz="4" w:space="0" w:color="auto"/>
              <w:right w:val="single" w:sz="4" w:space="0" w:color="auto"/>
            </w:tcBorders>
            <w:shd w:val="clear" w:color="auto" w:fill="auto"/>
            <w:noWrap/>
            <w:vAlign w:val="center"/>
            <w:hideMark/>
          </w:tcPr>
          <w:p w14:paraId="45E6525E"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1.6%</w:t>
            </w:r>
          </w:p>
        </w:tc>
        <w:tc>
          <w:tcPr>
            <w:tcW w:w="1540" w:type="dxa"/>
            <w:tcBorders>
              <w:top w:val="nil"/>
              <w:left w:val="nil"/>
              <w:bottom w:val="single" w:sz="4" w:space="0" w:color="auto"/>
              <w:right w:val="single" w:sz="8" w:space="0" w:color="auto"/>
            </w:tcBorders>
            <w:shd w:val="clear" w:color="auto" w:fill="auto"/>
            <w:noWrap/>
            <w:vAlign w:val="center"/>
            <w:hideMark/>
          </w:tcPr>
          <w:p w14:paraId="2FF2B831"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0.2%</w:t>
            </w:r>
          </w:p>
        </w:tc>
      </w:tr>
      <w:tr w:rsidR="00C85656" w:rsidRPr="00CF6C62" w14:paraId="4423BE3F" w14:textId="77777777" w:rsidTr="00BB00CD">
        <w:trPr>
          <w:trHeight w:val="360"/>
          <w:jc w:val="center"/>
        </w:trPr>
        <w:tc>
          <w:tcPr>
            <w:tcW w:w="2480" w:type="dxa"/>
            <w:tcBorders>
              <w:top w:val="nil"/>
              <w:left w:val="single" w:sz="8" w:space="0" w:color="auto"/>
              <w:bottom w:val="single" w:sz="8" w:space="0" w:color="auto"/>
              <w:right w:val="single" w:sz="4" w:space="0" w:color="auto"/>
            </w:tcBorders>
            <w:shd w:val="clear" w:color="auto" w:fill="auto"/>
            <w:vAlign w:val="center"/>
            <w:hideMark/>
          </w:tcPr>
          <w:p w14:paraId="0CE17025"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Other languages</w:t>
            </w:r>
            <w:r w:rsidRPr="00CF6C62">
              <w:rPr>
                <w:rFonts w:ascii="Calibri" w:eastAsia="Times New Roman" w:hAnsi="Calibri" w:cs="Times New Roman"/>
                <w:color w:val="000000"/>
                <w:vertAlign w:val="superscript"/>
              </w:rPr>
              <w:t>4</w:t>
            </w:r>
          </w:p>
        </w:tc>
        <w:tc>
          <w:tcPr>
            <w:tcW w:w="700" w:type="dxa"/>
            <w:tcBorders>
              <w:top w:val="nil"/>
              <w:left w:val="nil"/>
              <w:bottom w:val="single" w:sz="8" w:space="0" w:color="auto"/>
              <w:right w:val="single" w:sz="4" w:space="0" w:color="auto"/>
            </w:tcBorders>
            <w:shd w:val="clear" w:color="auto" w:fill="auto"/>
            <w:noWrap/>
            <w:vAlign w:val="center"/>
            <w:hideMark/>
          </w:tcPr>
          <w:p w14:paraId="3F9800AD"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766</w:t>
            </w:r>
          </w:p>
        </w:tc>
        <w:tc>
          <w:tcPr>
            <w:tcW w:w="1540" w:type="dxa"/>
            <w:tcBorders>
              <w:top w:val="nil"/>
              <w:left w:val="nil"/>
              <w:bottom w:val="single" w:sz="8" w:space="0" w:color="auto"/>
              <w:right w:val="single" w:sz="4" w:space="0" w:color="auto"/>
            </w:tcBorders>
            <w:shd w:val="clear" w:color="auto" w:fill="auto"/>
            <w:noWrap/>
            <w:vAlign w:val="center"/>
            <w:hideMark/>
          </w:tcPr>
          <w:p w14:paraId="455EC065"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9.2%</w:t>
            </w:r>
          </w:p>
        </w:tc>
        <w:tc>
          <w:tcPr>
            <w:tcW w:w="1540" w:type="dxa"/>
            <w:tcBorders>
              <w:top w:val="nil"/>
              <w:left w:val="nil"/>
              <w:bottom w:val="single" w:sz="8" w:space="0" w:color="auto"/>
              <w:right w:val="single" w:sz="8" w:space="0" w:color="auto"/>
            </w:tcBorders>
            <w:shd w:val="clear" w:color="auto" w:fill="auto"/>
            <w:noWrap/>
            <w:vAlign w:val="center"/>
            <w:hideMark/>
          </w:tcPr>
          <w:p w14:paraId="5F07AA79"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1.1%</w:t>
            </w:r>
          </w:p>
        </w:tc>
      </w:tr>
      <w:tr w:rsidR="00C85656" w:rsidRPr="00CF6C62" w14:paraId="30E20C4E"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2A464C02"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English Learners</w:t>
            </w:r>
          </w:p>
        </w:tc>
        <w:tc>
          <w:tcPr>
            <w:tcW w:w="700" w:type="dxa"/>
            <w:tcBorders>
              <w:top w:val="nil"/>
              <w:left w:val="nil"/>
              <w:bottom w:val="single" w:sz="4" w:space="0" w:color="auto"/>
              <w:right w:val="single" w:sz="4" w:space="0" w:color="auto"/>
            </w:tcBorders>
            <w:shd w:val="clear" w:color="auto" w:fill="auto"/>
            <w:noWrap/>
            <w:vAlign w:val="center"/>
            <w:hideMark/>
          </w:tcPr>
          <w:p w14:paraId="65DEA963"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8,346</w:t>
            </w:r>
          </w:p>
        </w:tc>
        <w:tc>
          <w:tcPr>
            <w:tcW w:w="1540" w:type="dxa"/>
            <w:tcBorders>
              <w:top w:val="nil"/>
              <w:left w:val="nil"/>
              <w:bottom w:val="single" w:sz="4" w:space="0" w:color="auto"/>
              <w:right w:val="single" w:sz="4" w:space="0" w:color="auto"/>
            </w:tcBorders>
            <w:shd w:val="clear" w:color="auto" w:fill="auto"/>
            <w:noWrap/>
            <w:vAlign w:val="center"/>
            <w:hideMark/>
          </w:tcPr>
          <w:p w14:paraId="2A1531CE"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100.0%</w:t>
            </w:r>
          </w:p>
        </w:tc>
        <w:tc>
          <w:tcPr>
            <w:tcW w:w="1540" w:type="dxa"/>
            <w:tcBorders>
              <w:top w:val="nil"/>
              <w:left w:val="nil"/>
              <w:bottom w:val="single" w:sz="4" w:space="0" w:color="auto"/>
              <w:right w:val="single" w:sz="8" w:space="0" w:color="auto"/>
            </w:tcBorders>
            <w:shd w:val="clear" w:color="auto" w:fill="auto"/>
            <w:noWrap/>
            <w:vAlign w:val="center"/>
            <w:hideMark/>
          </w:tcPr>
          <w:p w14:paraId="0A246276"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12.0%</w:t>
            </w:r>
          </w:p>
        </w:tc>
      </w:tr>
      <w:tr w:rsidR="00C85656" w:rsidRPr="00CF6C62" w14:paraId="0955B155" w14:textId="77777777" w:rsidTr="00BB00CD">
        <w:trPr>
          <w:trHeight w:val="300"/>
          <w:jc w:val="center"/>
        </w:trPr>
        <w:tc>
          <w:tcPr>
            <w:tcW w:w="2480" w:type="dxa"/>
            <w:tcBorders>
              <w:top w:val="nil"/>
              <w:left w:val="single" w:sz="8" w:space="0" w:color="auto"/>
              <w:bottom w:val="single" w:sz="4" w:space="0" w:color="auto"/>
              <w:right w:val="single" w:sz="4" w:space="0" w:color="auto"/>
            </w:tcBorders>
            <w:shd w:val="clear" w:color="auto" w:fill="auto"/>
            <w:vAlign w:val="center"/>
            <w:hideMark/>
          </w:tcPr>
          <w:p w14:paraId="6AFED218"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Not English Learners</w:t>
            </w:r>
          </w:p>
        </w:tc>
        <w:tc>
          <w:tcPr>
            <w:tcW w:w="700" w:type="dxa"/>
            <w:tcBorders>
              <w:top w:val="nil"/>
              <w:left w:val="nil"/>
              <w:bottom w:val="single" w:sz="4" w:space="0" w:color="auto"/>
              <w:right w:val="single" w:sz="4" w:space="0" w:color="auto"/>
            </w:tcBorders>
            <w:shd w:val="clear" w:color="auto" w:fill="auto"/>
            <w:noWrap/>
            <w:vAlign w:val="center"/>
            <w:hideMark/>
          </w:tcPr>
          <w:p w14:paraId="4CCEC0AE"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61,166</w:t>
            </w:r>
          </w:p>
        </w:tc>
        <w:tc>
          <w:tcPr>
            <w:tcW w:w="1540" w:type="dxa"/>
            <w:tcBorders>
              <w:top w:val="nil"/>
              <w:left w:val="nil"/>
              <w:bottom w:val="single" w:sz="4" w:space="0" w:color="auto"/>
              <w:right w:val="single" w:sz="4" w:space="0" w:color="auto"/>
            </w:tcBorders>
            <w:shd w:val="clear" w:color="000000" w:fill="D9D9D9"/>
            <w:noWrap/>
            <w:vAlign w:val="center"/>
            <w:hideMark/>
          </w:tcPr>
          <w:p w14:paraId="32C2A4A9"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 </w:t>
            </w:r>
          </w:p>
        </w:tc>
        <w:tc>
          <w:tcPr>
            <w:tcW w:w="1540" w:type="dxa"/>
            <w:tcBorders>
              <w:top w:val="nil"/>
              <w:left w:val="nil"/>
              <w:bottom w:val="single" w:sz="4" w:space="0" w:color="auto"/>
              <w:right w:val="single" w:sz="8" w:space="0" w:color="auto"/>
            </w:tcBorders>
            <w:shd w:val="clear" w:color="auto" w:fill="auto"/>
            <w:noWrap/>
            <w:vAlign w:val="center"/>
            <w:hideMark/>
          </w:tcPr>
          <w:p w14:paraId="7033ABE0"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88.0%</w:t>
            </w:r>
          </w:p>
        </w:tc>
      </w:tr>
      <w:tr w:rsidR="00C85656" w:rsidRPr="00CF6C62" w14:paraId="62949274" w14:textId="77777777" w:rsidTr="00BB00CD">
        <w:trPr>
          <w:trHeight w:val="615"/>
          <w:jc w:val="center"/>
        </w:trPr>
        <w:tc>
          <w:tcPr>
            <w:tcW w:w="2480" w:type="dxa"/>
            <w:tcBorders>
              <w:top w:val="nil"/>
              <w:left w:val="single" w:sz="8" w:space="0" w:color="auto"/>
              <w:bottom w:val="single" w:sz="8" w:space="0" w:color="auto"/>
              <w:right w:val="single" w:sz="4" w:space="0" w:color="auto"/>
            </w:tcBorders>
            <w:shd w:val="clear" w:color="auto" w:fill="auto"/>
            <w:vAlign w:val="center"/>
            <w:hideMark/>
          </w:tcPr>
          <w:p w14:paraId="3780AE38" w14:textId="77777777" w:rsidR="00C85656" w:rsidRPr="00CF6C62" w:rsidRDefault="00C85656" w:rsidP="00BB00CD">
            <w:pPr>
              <w:spacing w:after="0" w:line="240" w:lineRule="auto"/>
              <w:rPr>
                <w:rFonts w:ascii="Calibri" w:eastAsia="Times New Roman" w:hAnsi="Calibri" w:cs="Times New Roman"/>
                <w:color w:val="000000"/>
              </w:rPr>
            </w:pPr>
            <w:r w:rsidRPr="00CF6C62">
              <w:rPr>
                <w:rFonts w:ascii="Calibri" w:eastAsia="Times New Roman" w:hAnsi="Calibri" w:cs="Times New Roman"/>
                <w:color w:val="000000"/>
              </w:rPr>
              <w:t>Total count of Grades 3-9 students</w:t>
            </w:r>
          </w:p>
        </w:tc>
        <w:tc>
          <w:tcPr>
            <w:tcW w:w="700" w:type="dxa"/>
            <w:tcBorders>
              <w:top w:val="nil"/>
              <w:left w:val="nil"/>
              <w:bottom w:val="single" w:sz="8" w:space="0" w:color="auto"/>
              <w:right w:val="single" w:sz="4" w:space="0" w:color="auto"/>
            </w:tcBorders>
            <w:shd w:val="clear" w:color="auto" w:fill="auto"/>
            <w:noWrap/>
            <w:vAlign w:val="center"/>
            <w:hideMark/>
          </w:tcPr>
          <w:p w14:paraId="5EA877DA"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69,512</w:t>
            </w:r>
          </w:p>
        </w:tc>
        <w:tc>
          <w:tcPr>
            <w:tcW w:w="1540" w:type="dxa"/>
            <w:tcBorders>
              <w:top w:val="nil"/>
              <w:left w:val="nil"/>
              <w:bottom w:val="single" w:sz="8" w:space="0" w:color="auto"/>
              <w:right w:val="single" w:sz="4" w:space="0" w:color="auto"/>
            </w:tcBorders>
            <w:shd w:val="clear" w:color="000000" w:fill="D9D9D9"/>
            <w:noWrap/>
            <w:vAlign w:val="center"/>
            <w:hideMark/>
          </w:tcPr>
          <w:p w14:paraId="000ADA6A"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B69BD6B" w14:textId="77777777" w:rsidR="00C85656" w:rsidRPr="00CF6C62" w:rsidRDefault="00C85656" w:rsidP="00BB00CD">
            <w:pPr>
              <w:spacing w:after="0" w:line="240" w:lineRule="auto"/>
              <w:jc w:val="center"/>
              <w:rPr>
                <w:rFonts w:ascii="Calibri" w:eastAsia="Times New Roman" w:hAnsi="Calibri" w:cs="Times New Roman"/>
                <w:color w:val="000000"/>
              </w:rPr>
            </w:pPr>
            <w:r w:rsidRPr="00CF6C62">
              <w:rPr>
                <w:rFonts w:ascii="Calibri" w:eastAsia="Times New Roman" w:hAnsi="Calibri" w:cs="Times New Roman"/>
                <w:color w:val="000000"/>
              </w:rPr>
              <w:t>100.0%</w:t>
            </w:r>
          </w:p>
        </w:tc>
      </w:tr>
    </w:tbl>
    <w:p w14:paraId="78C358C9" w14:textId="77777777" w:rsidR="00C85656" w:rsidRDefault="00C85656" w:rsidP="00C85656">
      <w:pPr>
        <w:rPr>
          <w:rFonts w:ascii="Calibri" w:hAnsi="Calibri"/>
        </w:rPr>
      </w:pPr>
    </w:p>
    <w:p w14:paraId="7931FF64" w14:textId="77777777" w:rsidR="00C85656" w:rsidRPr="00CF6C62" w:rsidRDefault="00C85656" w:rsidP="00C85656">
      <w:pPr>
        <w:rPr>
          <w:rFonts w:ascii="Calibri" w:eastAsia="Calibri" w:hAnsi="Calibri" w:cs="Calibri"/>
          <w:spacing w:val="-1"/>
        </w:rPr>
      </w:pPr>
      <w:r w:rsidRPr="00CF6C62">
        <w:rPr>
          <w:rFonts w:ascii="Calibri" w:eastAsia="Calibri" w:hAnsi="Calibri" w:cs="Calibri"/>
          <w:spacing w:val="-1"/>
        </w:rPr>
        <w:t>Notes</w:t>
      </w:r>
      <w:r>
        <w:rPr>
          <w:rFonts w:ascii="Calibri" w:eastAsia="Calibri" w:hAnsi="Calibri" w:cs="Calibri"/>
          <w:spacing w:val="-1"/>
        </w:rPr>
        <w:t>:</w:t>
      </w:r>
    </w:p>
    <w:p w14:paraId="0E1FA095" w14:textId="77777777" w:rsidR="00C85656" w:rsidRPr="00CF6C62" w:rsidRDefault="00C85656" w:rsidP="00C85656">
      <w:pPr>
        <w:rPr>
          <w:rFonts w:ascii="Calibri" w:eastAsia="Calibri" w:hAnsi="Calibri" w:cs="Calibri"/>
          <w:spacing w:val="-1"/>
        </w:rPr>
      </w:pPr>
      <w:r w:rsidRPr="00CF6C62">
        <w:rPr>
          <w:rFonts w:ascii="Calibri" w:eastAsia="Calibri" w:hAnsi="Calibri" w:cs="Calibri"/>
          <w:spacing w:val="-1"/>
          <w:vertAlign w:val="superscript"/>
        </w:rPr>
        <w:t>1</w:t>
      </w:r>
      <w:r w:rsidRPr="00CF6C62">
        <w:rPr>
          <w:rFonts w:ascii="Calibri" w:eastAsia="Calibri" w:hAnsi="Calibri" w:cs="Calibri"/>
          <w:spacing w:val="-1"/>
        </w:rPr>
        <w:t xml:space="preserve">Includes all dialects: Central </w:t>
      </w:r>
      <w:proofErr w:type="spellStart"/>
      <w:r w:rsidRPr="00CF6C62">
        <w:rPr>
          <w:rFonts w:ascii="Calibri" w:eastAsia="Calibri" w:hAnsi="Calibri" w:cs="Calibri"/>
          <w:spacing w:val="-1"/>
        </w:rPr>
        <w:t>Yup'ik</w:t>
      </w:r>
      <w:proofErr w:type="spellEnd"/>
      <w:r w:rsidRPr="00CF6C62">
        <w:rPr>
          <w:rFonts w:ascii="Calibri" w:eastAsia="Calibri" w:hAnsi="Calibri" w:cs="Calibri"/>
          <w:spacing w:val="-1"/>
        </w:rPr>
        <w:t xml:space="preserve">, </w:t>
      </w:r>
      <w:proofErr w:type="spellStart"/>
      <w:r w:rsidRPr="00CF6C62">
        <w:rPr>
          <w:rFonts w:ascii="Calibri" w:eastAsia="Calibri" w:hAnsi="Calibri" w:cs="Calibri"/>
          <w:spacing w:val="-1"/>
        </w:rPr>
        <w:t>Cup'ik</w:t>
      </w:r>
      <w:proofErr w:type="spellEnd"/>
      <w:r w:rsidRPr="00CF6C62">
        <w:rPr>
          <w:rFonts w:ascii="Calibri" w:eastAsia="Calibri" w:hAnsi="Calibri" w:cs="Calibri"/>
          <w:spacing w:val="-1"/>
        </w:rPr>
        <w:t xml:space="preserve">, and Siberian </w:t>
      </w:r>
      <w:proofErr w:type="spellStart"/>
      <w:r w:rsidRPr="00CF6C62">
        <w:rPr>
          <w:rFonts w:ascii="Calibri" w:eastAsia="Calibri" w:hAnsi="Calibri" w:cs="Calibri"/>
          <w:spacing w:val="-1"/>
        </w:rPr>
        <w:t>Yup'ik</w:t>
      </w:r>
      <w:proofErr w:type="spellEnd"/>
    </w:p>
    <w:p w14:paraId="6E603457" w14:textId="77777777" w:rsidR="00C85656" w:rsidRPr="00CF6C62" w:rsidRDefault="00C85656" w:rsidP="00C85656">
      <w:pPr>
        <w:rPr>
          <w:rFonts w:ascii="Calibri" w:eastAsia="Calibri" w:hAnsi="Calibri" w:cs="Calibri"/>
          <w:spacing w:val="-1"/>
        </w:rPr>
      </w:pPr>
      <w:r w:rsidRPr="00CF6C62">
        <w:rPr>
          <w:rFonts w:ascii="Calibri" w:eastAsia="Calibri" w:hAnsi="Calibri" w:cs="Calibri"/>
          <w:spacing w:val="-1"/>
          <w:vertAlign w:val="superscript"/>
        </w:rPr>
        <w:t>2</w:t>
      </w:r>
      <w:r w:rsidRPr="00CF6C62">
        <w:rPr>
          <w:rFonts w:ascii="Calibri" w:eastAsia="Calibri" w:hAnsi="Calibri" w:cs="Calibri"/>
          <w:spacing w:val="-1"/>
        </w:rPr>
        <w:t>Includes Tagalog</w:t>
      </w:r>
    </w:p>
    <w:p w14:paraId="7BC4E0FE" w14:textId="77777777" w:rsidR="00C85656" w:rsidRPr="00CF6C62" w:rsidRDefault="00C85656" w:rsidP="00C85656">
      <w:pPr>
        <w:rPr>
          <w:rFonts w:ascii="Calibri" w:eastAsia="Calibri" w:hAnsi="Calibri" w:cs="Calibri"/>
          <w:spacing w:val="-1"/>
        </w:rPr>
      </w:pPr>
      <w:r w:rsidRPr="00CF6C62">
        <w:rPr>
          <w:rFonts w:ascii="Calibri" w:eastAsia="Calibri" w:hAnsi="Calibri" w:cs="Calibri"/>
          <w:spacing w:val="-1"/>
          <w:vertAlign w:val="superscript"/>
        </w:rPr>
        <w:t>3</w:t>
      </w:r>
      <w:r w:rsidRPr="00CF6C62">
        <w:rPr>
          <w:rFonts w:ascii="Calibri" w:eastAsia="Calibri" w:hAnsi="Calibri" w:cs="Calibri"/>
          <w:spacing w:val="-1"/>
        </w:rPr>
        <w:t xml:space="preserve">Includes all dialects: Ahtna, </w:t>
      </w:r>
      <w:proofErr w:type="spellStart"/>
      <w:r w:rsidRPr="00CF6C62">
        <w:rPr>
          <w:rFonts w:ascii="Calibri" w:eastAsia="Calibri" w:hAnsi="Calibri" w:cs="Calibri"/>
          <w:spacing w:val="-1"/>
        </w:rPr>
        <w:t>Deg</w:t>
      </w:r>
      <w:proofErr w:type="spellEnd"/>
      <w:r w:rsidRPr="00CF6C62">
        <w:rPr>
          <w:rFonts w:ascii="Calibri" w:eastAsia="Calibri" w:hAnsi="Calibri" w:cs="Calibri"/>
          <w:spacing w:val="-1"/>
        </w:rPr>
        <w:t xml:space="preserve"> </w:t>
      </w:r>
      <w:proofErr w:type="spellStart"/>
      <w:r w:rsidRPr="00CF6C62">
        <w:rPr>
          <w:rFonts w:ascii="Calibri" w:eastAsia="Calibri" w:hAnsi="Calibri" w:cs="Calibri"/>
          <w:spacing w:val="-1"/>
        </w:rPr>
        <w:t>Xinag</w:t>
      </w:r>
      <w:proofErr w:type="spellEnd"/>
      <w:r w:rsidRPr="00CF6C62">
        <w:rPr>
          <w:rFonts w:ascii="Calibri" w:eastAsia="Calibri" w:hAnsi="Calibri" w:cs="Calibri"/>
          <w:spacing w:val="-1"/>
        </w:rPr>
        <w:t xml:space="preserve">, </w:t>
      </w:r>
      <w:proofErr w:type="spellStart"/>
      <w:r w:rsidRPr="00CF6C62">
        <w:rPr>
          <w:rFonts w:ascii="Calibri" w:eastAsia="Calibri" w:hAnsi="Calibri" w:cs="Calibri"/>
          <w:spacing w:val="-1"/>
        </w:rPr>
        <w:t>Dena'ina</w:t>
      </w:r>
      <w:proofErr w:type="spellEnd"/>
      <w:r w:rsidRPr="00CF6C62">
        <w:rPr>
          <w:rFonts w:ascii="Calibri" w:eastAsia="Calibri" w:hAnsi="Calibri" w:cs="Calibri"/>
          <w:spacing w:val="-1"/>
        </w:rPr>
        <w:t xml:space="preserve">, </w:t>
      </w:r>
      <w:proofErr w:type="spellStart"/>
      <w:r w:rsidRPr="00CF6C62">
        <w:rPr>
          <w:rFonts w:ascii="Calibri" w:eastAsia="Calibri" w:hAnsi="Calibri" w:cs="Calibri"/>
          <w:spacing w:val="-1"/>
        </w:rPr>
        <w:t>Gwich'in</w:t>
      </w:r>
      <w:proofErr w:type="spellEnd"/>
      <w:r w:rsidRPr="00CF6C62">
        <w:rPr>
          <w:rFonts w:ascii="Calibri" w:eastAsia="Calibri" w:hAnsi="Calibri" w:cs="Calibri"/>
          <w:spacing w:val="-1"/>
        </w:rPr>
        <w:t xml:space="preserve">, Han, </w:t>
      </w:r>
      <w:proofErr w:type="spellStart"/>
      <w:r w:rsidRPr="00CF6C62">
        <w:rPr>
          <w:rFonts w:ascii="Calibri" w:eastAsia="Calibri" w:hAnsi="Calibri" w:cs="Calibri"/>
          <w:spacing w:val="-1"/>
        </w:rPr>
        <w:t>Holikachuk</w:t>
      </w:r>
      <w:proofErr w:type="spellEnd"/>
      <w:r w:rsidRPr="00CF6C62">
        <w:rPr>
          <w:rFonts w:ascii="Calibri" w:eastAsia="Calibri" w:hAnsi="Calibri" w:cs="Calibri"/>
          <w:spacing w:val="-1"/>
        </w:rPr>
        <w:t xml:space="preserve">, </w:t>
      </w:r>
      <w:proofErr w:type="spellStart"/>
      <w:r w:rsidRPr="00CF6C62">
        <w:rPr>
          <w:rFonts w:ascii="Calibri" w:eastAsia="Calibri" w:hAnsi="Calibri" w:cs="Calibri"/>
          <w:spacing w:val="-1"/>
        </w:rPr>
        <w:t>Koyukon</w:t>
      </w:r>
      <w:proofErr w:type="spellEnd"/>
      <w:r w:rsidRPr="00CF6C62">
        <w:rPr>
          <w:rFonts w:ascii="Calibri" w:eastAsia="Calibri" w:hAnsi="Calibri" w:cs="Calibri"/>
          <w:spacing w:val="-1"/>
        </w:rPr>
        <w:t xml:space="preserve">, Upper Kuskokwim, </w:t>
      </w:r>
      <w:proofErr w:type="spellStart"/>
      <w:r w:rsidRPr="00CF6C62">
        <w:rPr>
          <w:rFonts w:ascii="Calibri" w:eastAsia="Calibri" w:hAnsi="Calibri" w:cs="Calibri"/>
          <w:spacing w:val="-1"/>
        </w:rPr>
        <w:t>Tanacross</w:t>
      </w:r>
      <w:proofErr w:type="spellEnd"/>
      <w:r w:rsidRPr="00CF6C62">
        <w:rPr>
          <w:rFonts w:ascii="Calibri" w:eastAsia="Calibri" w:hAnsi="Calibri" w:cs="Calibri"/>
          <w:spacing w:val="-1"/>
        </w:rPr>
        <w:t>, and Tanana</w:t>
      </w:r>
    </w:p>
    <w:p w14:paraId="4AF865FC" w14:textId="371E741B" w:rsidR="00C85656" w:rsidRDefault="00C85656" w:rsidP="00C85656">
      <w:pPr>
        <w:rPr>
          <w:rFonts w:ascii="Calibri" w:eastAsia="Calibri" w:hAnsi="Calibri" w:cs="Calibri"/>
          <w:spacing w:val="-1"/>
        </w:rPr>
      </w:pPr>
      <w:proofErr w:type="gramStart"/>
      <w:r w:rsidRPr="00CF6C62">
        <w:rPr>
          <w:rFonts w:ascii="Calibri" w:eastAsia="Calibri" w:hAnsi="Calibri" w:cs="Calibri"/>
          <w:spacing w:val="-1"/>
          <w:vertAlign w:val="superscript"/>
        </w:rPr>
        <w:t>4</w:t>
      </w:r>
      <w:r w:rsidRPr="00CF6C62">
        <w:rPr>
          <w:rFonts w:ascii="Calibri" w:eastAsia="Calibri" w:hAnsi="Calibri" w:cs="Calibri"/>
          <w:spacing w:val="-1"/>
        </w:rPr>
        <w:t>"</w:t>
      </w:r>
      <w:proofErr w:type="gramEnd"/>
      <w:r w:rsidRPr="00CF6C62">
        <w:rPr>
          <w:rFonts w:ascii="Calibri" w:eastAsia="Calibri" w:hAnsi="Calibri" w:cs="Calibri"/>
          <w:spacing w:val="-1"/>
        </w:rPr>
        <w:t>Other languages" includes students noted with a language of Other and students coded with a language spoken by fewer than 100 students in grades 3-9.</w:t>
      </w:r>
    </w:p>
    <w:p w14:paraId="2658F665" w14:textId="16A8D1CA" w:rsidR="00C85656" w:rsidRDefault="00C85656" w:rsidP="002C7764">
      <w:pPr>
        <w:jc w:val="center"/>
        <w:rPr>
          <w:rFonts w:ascii="Calibri" w:eastAsia="Calibri" w:hAnsi="Calibri" w:cs="Calibri"/>
          <w:b/>
          <w:spacing w:val="-1"/>
        </w:rPr>
      </w:pPr>
      <w:r>
        <w:rPr>
          <w:rFonts w:ascii="Calibri" w:hAnsi="Calibri"/>
          <w:noProof/>
        </w:rPr>
        <w:lastRenderedPageBreak/>
        <w:drawing>
          <wp:inline distT="0" distB="0" distL="0" distR="0" wp14:anchorId="2E9F3542" wp14:editId="6E187957">
            <wp:extent cx="4584700" cy="2755900"/>
            <wp:effectExtent l="0" t="0" r="6350" b="6350"/>
            <wp:docPr id="29" name="Picture 29" descr="Pie Chart showing the Language of Alaska's English Learners Grades 3-9, October 1, 2016.&#10;&#10;43% Yup'ik&#10;10% Spanish&#10;9% Fillipino&#10;9% Samoan&#10;8% Inupiaq&#10;7% Hmong&#10;14%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84F37E" w14:textId="1E227AB9" w:rsidR="00C85656" w:rsidRPr="00C85656" w:rsidRDefault="00C85656" w:rsidP="002C7764">
      <w:pPr>
        <w:jc w:val="center"/>
        <w:rPr>
          <w:rFonts w:ascii="Calibri" w:eastAsia="Calibri" w:hAnsi="Calibri" w:cs="Calibri"/>
          <w:spacing w:val="-1"/>
        </w:rPr>
      </w:pPr>
      <w:r>
        <w:rPr>
          <w:rFonts w:ascii="Calibri" w:eastAsia="Calibri" w:hAnsi="Calibri" w:cs="Calibri"/>
          <w:noProof/>
          <w:spacing w:val="-1"/>
        </w:rPr>
        <w:drawing>
          <wp:inline distT="0" distB="0" distL="0" distR="0" wp14:anchorId="2BCAD1F1" wp14:editId="4E47E712">
            <wp:extent cx="4530806" cy="2854767"/>
            <wp:effectExtent l="0" t="0" r="3175" b="3175"/>
            <wp:docPr id="30" name="Picture 30" descr="Pie Chart showing the language of All Alaska Students in grades 3 through 9 on October 1, 2016.&#10;&#10;5.2% Yup'ik&#10;1.3% Spanish&#10;1.1% Fillipino&#10;1.0% Samoan&#10;1.0%Inupiaq&#10;0.8% Hmong&#10;1.7% Other&#10;88% Not English Learn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1081" cy="2867542"/>
                    </a:xfrm>
                    <a:prstGeom prst="rect">
                      <a:avLst/>
                    </a:prstGeom>
                    <a:noFill/>
                  </pic:spPr>
                </pic:pic>
              </a:graphicData>
            </a:graphic>
          </wp:inline>
        </w:drawing>
      </w:r>
    </w:p>
    <w:p w14:paraId="2C0BA981" w14:textId="77777777" w:rsidR="00C85656" w:rsidRPr="00697AC2" w:rsidRDefault="00C85656" w:rsidP="00C85656">
      <w:pPr>
        <w:pStyle w:val="Default"/>
        <w:rPr>
          <w:rFonts w:ascii="Calibri" w:hAnsi="Calibri"/>
          <w:sz w:val="22"/>
          <w:szCs w:val="22"/>
        </w:rPr>
      </w:pPr>
    </w:p>
    <w:p w14:paraId="54A82000" w14:textId="63F11AC6" w:rsidR="00C85656" w:rsidRDefault="00C85656" w:rsidP="00C85656">
      <w:pPr>
        <w:rPr>
          <w:rFonts w:ascii="Calibri" w:eastAsia="Calibri" w:hAnsi="Calibri" w:cs="Calibri"/>
          <w:spacing w:val="-1"/>
        </w:rPr>
      </w:pPr>
      <w:r>
        <w:rPr>
          <w:rFonts w:ascii="Calibri" w:eastAsia="Calibri" w:hAnsi="Calibri" w:cs="Calibri"/>
          <w:spacing w:val="-1"/>
        </w:rPr>
        <w:t xml:space="preserve">Alaska Native/American Indian students represent 22.5% of students in the tested grades (15,626 students). Of those, 28.2% of those students are identified as ELs, with </w:t>
      </w:r>
      <w:proofErr w:type="spellStart"/>
      <w:r>
        <w:rPr>
          <w:rFonts w:ascii="Calibri" w:eastAsia="Calibri" w:hAnsi="Calibri" w:cs="Calibri"/>
          <w:spacing w:val="-1"/>
        </w:rPr>
        <w:t>Yup’ik</w:t>
      </w:r>
      <w:proofErr w:type="spellEnd"/>
      <w:r>
        <w:rPr>
          <w:rFonts w:ascii="Calibri" w:eastAsia="Calibri" w:hAnsi="Calibri" w:cs="Calibri"/>
          <w:spacing w:val="-1"/>
        </w:rPr>
        <w:t xml:space="preserve"> being the language represen</w:t>
      </w:r>
      <w:r w:rsidR="005428E5">
        <w:rPr>
          <w:rFonts w:ascii="Calibri" w:eastAsia="Calibri" w:hAnsi="Calibri" w:cs="Calibri"/>
          <w:spacing w:val="-1"/>
        </w:rPr>
        <w:t>ted by 80.3% of those students.</w:t>
      </w:r>
    </w:p>
    <w:p w14:paraId="4E9ADFAF" w14:textId="58BD29F9" w:rsidR="00C85656" w:rsidRDefault="00C85656" w:rsidP="00C85656">
      <w:pPr>
        <w:rPr>
          <w:rFonts w:ascii="Calibri" w:eastAsia="Calibri" w:hAnsi="Calibri" w:cs="Calibri"/>
          <w:spacing w:val="-1"/>
        </w:rPr>
      </w:pPr>
      <w:r>
        <w:rPr>
          <w:rFonts w:ascii="Calibri" w:eastAsia="Calibri" w:hAnsi="Calibri" w:cs="Calibri"/>
          <w:spacing w:val="-1"/>
        </w:rPr>
        <w:t xml:space="preserve">Migrant students represent 6.9% of students in the tested grades (4,790 students). Of those, 19.4% are identified as ELs, with </w:t>
      </w:r>
      <w:proofErr w:type="spellStart"/>
      <w:r>
        <w:rPr>
          <w:rFonts w:ascii="Calibri" w:eastAsia="Calibri" w:hAnsi="Calibri" w:cs="Calibri"/>
          <w:spacing w:val="-1"/>
        </w:rPr>
        <w:t>Yup’ik</w:t>
      </w:r>
      <w:proofErr w:type="spellEnd"/>
      <w:r>
        <w:rPr>
          <w:rFonts w:ascii="Calibri" w:eastAsia="Calibri" w:hAnsi="Calibri" w:cs="Calibri"/>
          <w:spacing w:val="-1"/>
        </w:rPr>
        <w:t xml:space="preserve"> being the language represen</w:t>
      </w:r>
      <w:r w:rsidR="005428E5">
        <w:rPr>
          <w:rFonts w:ascii="Calibri" w:eastAsia="Calibri" w:hAnsi="Calibri" w:cs="Calibri"/>
          <w:spacing w:val="-1"/>
        </w:rPr>
        <w:t>ted by 59.9% of those students.</w:t>
      </w:r>
    </w:p>
    <w:p w14:paraId="32DE6362" w14:textId="31424CF2" w:rsidR="00C85656" w:rsidRDefault="00C85656" w:rsidP="00C85656">
      <w:pPr>
        <w:rPr>
          <w:rFonts w:ascii="Calibri" w:eastAsia="Calibri" w:hAnsi="Calibri" w:cs="Calibri"/>
          <w:spacing w:val="-1"/>
        </w:rPr>
      </w:pPr>
      <w:r>
        <w:rPr>
          <w:rFonts w:ascii="Calibri" w:eastAsia="Calibri" w:hAnsi="Calibri" w:cs="Calibri"/>
          <w:spacing w:val="-1"/>
        </w:rPr>
        <w:t xml:space="preserve">English learners in the tested grades were present in 35 of Alaska’s 54 districts. Seven districts served 100 or more ELs represented by </w:t>
      </w:r>
      <w:proofErr w:type="spellStart"/>
      <w:r>
        <w:rPr>
          <w:rFonts w:ascii="Calibri" w:eastAsia="Calibri" w:hAnsi="Calibri" w:cs="Calibri"/>
          <w:spacing w:val="-1"/>
        </w:rPr>
        <w:t>Yup’ik</w:t>
      </w:r>
      <w:proofErr w:type="spellEnd"/>
      <w:r>
        <w:rPr>
          <w:rFonts w:ascii="Calibri" w:eastAsia="Calibri" w:hAnsi="Calibri" w:cs="Calibri"/>
          <w:spacing w:val="-1"/>
        </w:rPr>
        <w:t xml:space="preserve">. Six of those districts are rural districts and in five of those districts, </w:t>
      </w:r>
      <w:proofErr w:type="spellStart"/>
      <w:r>
        <w:rPr>
          <w:rFonts w:ascii="Calibri" w:eastAsia="Calibri" w:hAnsi="Calibri" w:cs="Calibri"/>
          <w:spacing w:val="-1"/>
        </w:rPr>
        <w:t>Yup’ik</w:t>
      </w:r>
      <w:proofErr w:type="spellEnd"/>
      <w:r>
        <w:rPr>
          <w:rFonts w:ascii="Calibri" w:eastAsia="Calibri" w:hAnsi="Calibri" w:cs="Calibri"/>
          <w:spacing w:val="-1"/>
        </w:rPr>
        <w:t xml:space="preserve"> was represented by essentially 100% of the ELs. Anchorage, the state’s largest district and a member of the Great City Schools, served 3,112 EL students in tested grades. Of those </w:t>
      </w:r>
      <w:proofErr w:type="spellStart"/>
      <w:r>
        <w:rPr>
          <w:rFonts w:ascii="Calibri" w:eastAsia="Calibri" w:hAnsi="Calibri" w:cs="Calibri"/>
          <w:spacing w:val="-1"/>
        </w:rPr>
        <w:t>Yup’ik</w:t>
      </w:r>
      <w:proofErr w:type="spellEnd"/>
      <w:r>
        <w:rPr>
          <w:rFonts w:ascii="Calibri" w:eastAsia="Calibri" w:hAnsi="Calibri" w:cs="Calibri"/>
          <w:spacing w:val="-1"/>
        </w:rPr>
        <w:t xml:space="preserve"> was represented by 5.5% (171 students). However, Anchorage is home to residents who speak as many as 100 </w:t>
      </w:r>
      <w:r>
        <w:rPr>
          <w:rFonts w:ascii="Calibri" w:eastAsia="Calibri" w:hAnsi="Calibri" w:cs="Calibri"/>
          <w:spacing w:val="-1"/>
        </w:rPr>
        <w:lastRenderedPageBreak/>
        <w:t>different languages. Other languages of great prevalence in the EL population in tested grades in Anchorage are Spanish at 21.6%, Samoan at 20.6%, Hmong a</w:t>
      </w:r>
      <w:r w:rsidR="005428E5">
        <w:rPr>
          <w:rFonts w:ascii="Calibri" w:eastAsia="Calibri" w:hAnsi="Calibri" w:cs="Calibri"/>
          <w:spacing w:val="-1"/>
        </w:rPr>
        <w:t>t 17.9%, and Filipino at 13.1%.</w:t>
      </w:r>
    </w:p>
    <w:p w14:paraId="189764A5" w14:textId="77777777" w:rsidR="00C85656" w:rsidRDefault="00C85656" w:rsidP="00C85656">
      <w:pPr>
        <w:rPr>
          <w:rFonts w:ascii="Calibri" w:eastAsia="Calibri" w:hAnsi="Calibri" w:cs="Calibri"/>
          <w:spacing w:val="-1"/>
        </w:rPr>
      </w:pPr>
      <w:r>
        <w:rPr>
          <w:rFonts w:ascii="Calibri" w:eastAsia="Calibri" w:hAnsi="Calibri" w:cs="Calibri"/>
          <w:spacing w:val="-1"/>
        </w:rPr>
        <w:t xml:space="preserve">Alaska is proposing that the definition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“languages</w:t>
      </w:r>
      <w:r>
        <w:rPr>
          <w:rFonts w:ascii="Calibri" w:eastAsia="Calibri" w:hAnsi="Calibri" w:cs="Calibri"/>
          <w:spacing w:val="-2"/>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spacing w:val="-1"/>
        </w:rPr>
        <w:t>than</w:t>
      </w:r>
      <w:r>
        <w:rPr>
          <w:rFonts w:ascii="Calibri" w:eastAsia="Calibri" w:hAnsi="Calibri" w:cs="Calibri"/>
          <w:spacing w:val="1"/>
        </w:rPr>
        <w:t xml:space="preserve"> </w:t>
      </w:r>
      <w:r>
        <w:rPr>
          <w:rFonts w:ascii="Calibri" w:eastAsia="Calibri" w:hAnsi="Calibri" w:cs="Calibri"/>
          <w:spacing w:val="-1"/>
        </w:rPr>
        <w:t>English that</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spacing w:val="48"/>
        </w:rPr>
        <w:t xml:space="preserve"> </w:t>
      </w:r>
      <w:r>
        <w:rPr>
          <w:rFonts w:ascii="Calibri" w:eastAsia="Calibri" w:hAnsi="Calibri" w:cs="Calibri"/>
          <w:spacing w:val="-1"/>
        </w:rPr>
        <w:t>present</w:t>
      </w:r>
      <w:r>
        <w:rPr>
          <w:rFonts w:ascii="Calibri" w:eastAsia="Calibri" w:hAnsi="Calibri" w:cs="Calibri"/>
          <w:spacing w:val="1"/>
        </w:rPr>
        <w:t xml:space="preserve"> </w:t>
      </w:r>
      <w:r>
        <w:rPr>
          <w:rFonts w:ascii="Calibri" w:eastAsia="Calibri" w:hAnsi="Calibri" w:cs="Calibri"/>
          <w:spacing w:val="-1"/>
        </w:rPr>
        <w:t xml:space="preserve">to </w:t>
      </w:r>
      <w:r>
        <w:rPr>
          <w:rFonts w:ascii="Calibri" w:eastAsia="Calibri" w:hAnsi="Calibri" w:cs="Calibri"/>
        </w:rPr>
        <w:t xml:space="preserve">a </w:t>
      </w:r>
      <w:r>
        <w:rPr>
          <w:rFonts w:ascii="Calibri" w:eastAsia="Calibri" w:hAnsi="Calibri" w:cs="Calibri"/>
          <w:spacing w:val="-1"/>
        </w:rPr>
        <w:t>significant</w:t>
      </w:r>
      <w:r>
        <w:rPr>
          <w:rFonts w:ascii="Calibri" w:eastAsia="Calibri" w:hAnsi="Calibri" w:cs="Calibri"/>
          <w:spacing w:val="-2"/>
        </w:rPr>
        <w:t xml:space="preserve"> </w:t>
      </w:r>
      <w:r>
        <w:rPr>
          <w:rFonts w:ascii="Calibri" w:eastAsia="Calibri" w:hAnsi="Calibri" w:cs="Calibri"/>
          <w:spacing w:val="-1"/>
        </w:rPr>
        <w:t>extent</w:t>
      </w:r>
      <w:r>
        <w:rPr>
          <w:rFonts w:ascii="Calibri" w:eastAsia="Calibri" w:hAnsi="Calibri" w:cs="Calibri"/>
          <w:spacing w:val="1"/>
        </w:rPr>
        <w:t xml:space="preserve"> </w:t>
      </w:r>
      <w:r>
        <w:rPr>
          <w:rFonts w:ascii="Calibri" w:eastAsia="Calibri" w:hAnsi="Calibri" w:cs="Calibri"/>
          <w:spacing w:val="-1"/>
        </w:rPr>
        <w:t>in the</w:t>
      </w:r>
      <w:r>
        <w:rPr>
          <w:rFonts w:ascii="Calibri" w:eastAsia="Calibri" w:hAnsi="Calibri" w:cs="Calibri"/>
          <w:spacing w:val="-2"/>
        </w:rPr>
        <w:t xml:space="preserve"> </w:t>
      </w:r>
      <w:r>
        <w:rPr>
          <w:rFonts w:ascii="Calibri" w:eastAsia="Calibri" w:hAnsi="Calibri" w:cs="Calibri"/>
          <w:spacing w:val="-1"/>
        </w:rPr>
        <w:t>participating student</w:t>
      </w:r>
      <w:r>
        <w:rPr>
          <w:rFonts w:ascii="Calibri" w:eastAsia="Calibri" w:hAnsi="Calibri" w:cs="Calibri"/>
          <w:spacing w:val="1"/>
        </w:rPr>
        <w:t xml:space="preserve"> </w:t>
      </w:r>
      <w:r>
        <w:rPr>
          <w:rFonts w:ascii="Calibri" w:eastAsia="Calibri" w:hAnsi="Calibri" w:cs="Calibri"/>
          <w:spacing w:val="-1"/>
        </w:rPr>
        <w:t xml:space="preserve">population” be </w:t>
      </w:r>
      <w:proofErr w:type="spellStart"/>
      <w:r>
        <w:rPr>
          <w:rFonts w:ascii="Calibri" w:eastAsia="Calibri" w:hAnsi="Calibri" w:cs="Calibri"/>
          <w:spacing w:val="-1"/>
        </w:rPr>
        <w:t>Yup’ik</w:t>
      </w:r>
      <w:proofErr w:type="spellEnd"/>
      <w:r>
        <w:rPr>
          <w:rFonts w:ascii="Calibri" w:eastAsia="Calibri" w:hAnsi="Calibri" w:cs="Calibri"/>
          <w:spacing w:val="-1"/>
        </w:rPr>
        <w:t xml:space="preserve"> which is the most prevalent language. The state has not yet had the opportunity to reach out to stakeholders for consultation on this definition, but is planning to engage in that consultation no later than April 30, 2018. Subsequent to the consultation process, the state will confirm the definition of the language(s) present to a significant extent.</w:t>
      </w:r>
    </w:p>
    <w:p w14:paraId="58515BBC" w14:textId="06B1DF61" w:rsidR="00C85656" w:rsidRPr="00D05740" w:rsidRDefault="00664742" w:rsidP="00D05740">
      <w:pPr>
        <w:pStyle w:val="ListParagraph"/>
        <w:numPr>
          <w:ilvl w:val="0"/>
          <w:numId w:val="1"/>
        </w:numPr>
        <w:rPr>
          <w:b/>
        </w:rPr>
      </w:pPr>
      <w:r w:rsidRPr="00D05740">
        <w:rPr>
          <w:b/>
        </w:rPr>
        <w:t xml:space="preserve">Identify any existing assessments in languages other than English, and specify for which grades and content areas those assessments are available. </w:t>
      </w:r>
    </w:p>
    <w:p w14:paraId="7D30B758" w14:textId="7C44A495" w:rsidR="00664742" w:rsidRPr="00C85656" w:rsidRDefault="00A12A18" w:rsidP="00C85656">
      <w:sdt>
        <w:sdtPr>
          <w:rPr>
            <w:rFonts w:ascii="Calibri" w:eastAsia="Calibri" w:hAnsi="Calibri" w:cs="Times New Roman"/>
          </w:rPr>
          <w:id w:val="34550806"/>
        </w:sdtPr>
        <w:sdtEndPr/>
        <w:sdtContent>
          <w:r w:rsidR="00664742" w:rsidRPr="009F6E5E">
            <w:rPr>
              <w:rFonts w:ascii="Calibri" w:eastAsia="Calibri" w:hAnsi="Calibri" w:cs="Times New Roman"/>
            </w:rPr>
            <w:t xml:space="preserve">There are currently no existing </w:t>
          </w:r>
          <w:r w:rsidR="00664742">
            <w:rPr>
              <w:rFonts w:ascii="Calibri" w:eastAsia="Calibri" w:hAnsi="Calibri" w:cs="Times New Roman"/>
            </w:rPr>
            <w:t>s</w:t>
          </w:r>
          <w:r w:rsidR="00664742" w:rsidRPr="009F6E5E">
            <w:rPr>
              <w:rFonts w:ascii="Calibri" w:eastAsia="Calibri" w:hAnsi="Calibri" w:cs="Times New Roman"/>
            </w:rPr>
            <w:t>tate content assessments</w:t>
          </w:r>
          <w:r w:rsidR="00664742">
            <w:rPr>
              <w:rFonts w:ascii="Calibri" w:eastAsia="Calibri" w:hAnsi="Calibri" w:cs="Times New Roman"/>
            </w:rPr>
            <w:t xml:space="preserve"> in English language arts, mathematics, or science</w:t>
          </w:r>
          <w:r w:rsidR="00664742" w:rsidRPr="009F6E5E">
            <w:rPr>
              <w:rFonts w:ascii="Calibri" w:eastAsia="Calibri" w:hAnsi="Calibri" w:cs="Times New Roman"/>
            </w:rPr>
            <w:t xml:space="preserve"> in languages other than English.</w:t>
          </w:r>
        </w:sdtContent>
      </w:sdt>
    </w:p>
    <w:p w14:paraId="6B88C187" w14:textId="32C3E0B1" w:rsidR="00664742" w:rsidRPr="00D05740" w:rsidRDefault="00664742" w:rsidP="00D05740">
      <w:pPr>
        <w:pStyle w:val="ListParagraph"/>
        <w:numPr>
          <w:ilvl w:val="0"/>
          <w:numId w:val="1"/>
        </w:numPr>
        <w:rPr>
          <w:b/>
        </w:rPr>
      </w:pPr>
      <w:r w:rsidRPr="00D05740">
        <w:rPr>
          <w:b/>
        </w:rPr>
        <w:t>Indicate the languages identified in question 3(i) for which yearly student academic assessments are not available and are needed.</w:t>
      </w:r>
    </w:p>
    <w:p w14:paraId="65825513" w14:textId="0367436F" w:rsidR="00664742" w:rsidRPr="00664742" w:rsidRDefault="00664742" w:rsidP="00664742">
      <w:pPr>
        <w:rPr>
          <w:rFonts w:ascii="Calibri" w:hAnsi="Calibri"/>
        </w:rPr>
      </w:pPr>
      <w:r w:rsidRPr="00664742">
        <w:rPr>
          <w:rFonts w:ascii="Calibri" w:hAnsi="Calibri"/>
        </w:rPr>
        <w:t>This will be determined with stakeholders as described below.</w:t>
      </w:r>
    </w:p>
    <w:p w14:paraId="396A0AB5" w14:textId="25BF6923" w:rsidR="00664742" w:rsidRPr="00D05740" w:rsidRDefault="00664742" w:rsidP="00D05740">
      <w:pPr>
        <w:pStyle w:val="ListParagraph"/>
        <w:numPr>
          <w:ilvl w:val="0"/>
          <w:numId w:val="1"/>
        </w:numPr>
        <w:rPr>
          <w:b/>
        </w:rPr>
      </w:pPr>
      <w:r w:rsidRPr="00D05740">
        <w:rPr>
          <w:b/>
        </w:rPr>
        <w:t xml:space="preserve">Describe how it will make every effort to develop assessments, at a minimum, in languages other than English that are present to a significant extent in the participating student population including by providing </w:t>
      </w:r>
    </w:p>
    <w:p w14:paraId="342986D7" w14:textId="5EFBA175" w:rsidR="00664742" w:rsidRPr="002C7764" w:rsidRDefault="00664742" w:rsidP="00D05740">
      <w:pPr>
        <w:pStyle w:val="ListParagraph"/>
        <w:numPr>
          <w:ilvl w:val="1"/>
          <w:numId w:val="1"/>
        </w:numPr>
      </w:pPr>
      <w:r w:rsidRPr="002C7764">
        <w:t xml:space="preserve">The State’s plan and timeline for developing such assessments, including a description of how it met the requirements of 34 CFR § 200.6(f)(4); </w:t>
      </w:r>
    </w:p>
    <w:p w14:paraId="3826ABB7" w14:textId="6FCA3F52" w:rsidR="00664742" w:rsidRPr="002C7764" w:rsidRDefault="00664742" w:rsidP="00D05740">
      <w:pPr>
        <w:pStyle w:val="ListParagraph"/>
        <w:numPr>
          <w:ilvl w:val="1"/>
          <w:numId w:val="1"/>
        </w:numPr>
      </w:pPr>
      <w:r w:rsidRPr="002C7764">
        <w:t xml:space="preserve">A description of the process the State used to gather meaningful input on the need for assessments in languages other than English, collect and respond to public comment, and consult with educators; parents and families of English learners; students, as appropriate; and other stakeholders; and </w:t>
      </w:r>
    </w:p>
    <w:p w14:paraId="3E965B81" w14:textId="56A37935" w:rsidR="00664742" w:rsidRPr="002C7764" w:rsidRDefault="00664742" w:rsidP="00D05740">
      <w:pPr>
        <w:pStyle w:val="ListParagraph"/>
        <w:numPr>
          <w:ilvl w:val="1"/>
          <w:numId w:val="1"/>
        </w:numPr>
      </w:pPr>
      <w:r w:rsidRPr="002C7764">
        <w:t xml:space="preserve">As applicable, an explanation of the reasons the State has not been able to complete the development of such assessments despite making every effort. </w:t>
      </w:r>
    </w:p>
    <w:p w14:paraId="3EFAC094" w14:textId="77777777" w:rsidR="00664742" w:rsidRPr="00697AC2" w:rsidRDefault="00664742" w:rsidP="00664742">
      <w:pPr>
        <w:pStyle w:val="Default"/>
        <w:rPr>
          <w:rFonts w:ascii="Calibri" w:hAnsi="Calibri"/>
          <w:sz w:val="22"/>
          <w:szCs w:val="22"/>
        </w:rPr>
      </w:pPr>
    </w:p>
    <w:p w14:paraId="12CD8C9E" w14:textId="18826961" w:rsidR="00664742" w:rsidRPr="00484B15" w:rsidRDefault="00664742" w:rsidP="006641B6">
      <w:pPr>
        <w:pStyle w:val="ListParagraph"/>
        <w:numPr>
          <w:ilvl w:val="1"/>
          <w:numId w:val="87"/>
        </w:numPr>
        <w:rPr>
          <w:rFonts w:ascii="Calibri" w:hAnsi="Calibri"/>
        </w:rPr>
      </w:pPr>
      <w:r w:rsidRPr="00484B15">
        <w:rPr>
          <w:rFonts w:ascii="Calibri" w:eastAsia="Calibri" w:hAnsi="Calibri" w:cs="Times New Roman"/>
        </w:rPr>
        <w:t xml:space="preserve">Alaska will work with stakeholders representing the languages present to a significant extent to consider and determine in which languages content assessments are needed and are feasible. For the </w:t>
      </w:r>
      <w:proofErr w:type="spellStart"/>
      <w:r w:rsidRPr="00484B15">
        <w:rPr>
          <w:rFonts w:ascii="Calibri" w:eastAsia="Calibri" w:hAnsi="Calibri" w:cs="Times New Roman"/>
        </w:rPr>
        <w:t>Yup’ik</w:t>
      </w:r>
      <w:proofErr w:type="spellEnd"/>
      <w:r w:rsidRPr="00484B15">
        <w:rPr>
          <w:rFonts w:ascii="Calibri" w:eastAsia="Calibri" w:hAnsi="Calibri" w:cs="Times New Roman"/>
        </w:rPr>
        <w:t xml:space="preserve"> languages, the department will reach out to Alaska Native community members, native </w:t>
      </w:r>
      <w:proofErr w:type="spellStart"/>
      <w:r w:rsidRPr="00484B15">
        <w:rPr>
          <w:rFonts w:ascii="Calibri" w:eastAsia="Calibri" w:hAnsi="Calibri" w:cs="Times New Roman"/>
        </w:rPr>
        <w:t>Yup’ik</w:t>
      </w:r>
      <w:proofErr w:type="spellEnd"/>
      <w:r w:rsidRPr="00484B15">
        <w:rPr>
          <w:rFonts w:ascii="Calibri" w:eastAsia="Calibri" w:hAnsi="Calibri" w:cs="Times New Roman"/>
        </w:rPr>
        <w:t xml:space="preserve"> speakers and indigenous language experts, tribal leadership, and educators to discuss considerations related to providing academic assessments in the native language. Considerations include in which language an assessment will provide the most accurate and reliable information on what a student knows and can do as well as how to create assessments in native languages that will meet technical requirements so that the assessment results are valid and reliable. Once it is determined that content assessments in languages other than English are needed, the department will work with the testing contractor to develop assessments in those languages or will request assistance from the Secretary of Education in the identification of appropriate academic assessment measures in the needed languages. The department is looking forward to beginning discussions with stakeholders regarding academic assessments in languages other than English.</w:t>
      </w:r>
    </w:p>
    <w:p w14:paraId="72985227" w14:textId="18BDE526" w:rsidR="00664742" w:rsidRDefault="00664742" w:rsidP="006641B6">
      <w:pPr>
        <w:pStyle w:val="ListParagraph"/>
        <w:numPr>
          <w:ilvl w:val="1"/>
          <w:numId w:val="87"/>
        </w:numPr>
        <w:rPr>
          <w:rFonts w:ascii="Calibri" w:hAnsi="Calibri"/>
        </w:rPr>
      </w:pPr>
      <w:r>
        <w:rPr>
          <w:rFonts w:ascii="Calibri" w:hAnsi="Calibri"/>
        </w:rPr>
        <w:t>The process for consultation is ex</w:t>
      </w:r>
      <w:r w:rsidR="0064319B">
        <w:rPr>
          <w:rFonts w:ascii="Calibri" w:hAnsi="Calibri"/>
        </w:rPr>
        <w:t xml:space="preserve">pected to begin </w:t>
      </w:r>
      <w:r>
        <w:rPr>
          <w:rFonts w:ascii="Calibri" w:hAnsi="Calibri"/>
        </w:rPr>
        <w:t xml:space="preserve">by early fall, 2018. </w:t>
      </w:r>
    </w:p>
    <w:p w14:paraId="58948A51" w14:textId="77777777" w:rsidR="00664742" w:rsidRPr="00FF1977" w:rsidRDefault="00A12A18" w:rsidP="006641B6">
      <w:pPr>
        <w:pStyle w:val="ListParagraph"/>
        <w:numPr>
          <w:ilvl w:val="1"/>
          <w:numId w:val="87"/>
        </w:numPr>
        <w:rPr>
          <w:rFonts w:ascii="Calibri" w:hAnsi="Calibri"/>
        </w:rPr>
      </w:pPr>
      <w:sdt>
        <w:sdtPr>
          <w:rPr>
            <w:rFonts w:ascii="Calibri" w:eastAsia="Calibri" w:hAnsi="Calibri" w:cs="Times New Roman"/>
          </w:rPr>
          <w:id w:val="1770196222"/>
        </w:sdtPr>
        <w:sdtEndPr/>
        <w:sdtContent>
          <w:r w:rsidR="00664742">
            <w:rPr>
              <w:rFonts w:ascii="Calibri" w:eastAsia="Calibri" w:hAnsi="Calibri" w:cs="Times New Roman"/>
            </w:rPr>
            <w:t xml:space="preserve">Alaska successfully administered new assessments in ELA and mathematics in 2017. With the first administration completed, the department can now begin </w:t>
          </w:r>
          <w:r w:rsidR="00664742" w:rsidRPr="00FF1977">
            <w:rPr>
              <w:rFonts w:ascii="Calibri" w:eastAsia="Calibri" w:hAnsi="Calibri" w:cs="Times New Roman"/>
            </w:rPr>
            <w:t>stakeholder discussions and plans for potentially testing in languages other than English</w:t>
          </w:r>
          <w:r w:rsidR="00664742">
            <w:rPr>
              <w:rFonts w:ascii="Calibri" w:eastAsia="Calibri" w:hAnsi="Calibri" w:cs="Times New Roman"/>
            </w:rPr>
            <w:t xml:space="preserve">. </w:t>
          </w:r>
        </w:sdtContent>
      </w:sdt>
    </w:p>
    <w:p w14:paraId="561E7873" w14:textId="77777777" w:rsidR="009E15A8" w:rsidRDefault="002C7764" w:rsidP="006641B6">
      <w:pPr>
        <w:pStyle w:val="Heading2"/>
        <w:numPr>
          <w:ilvl w:val="0"/>
          <w:numId w:val="87"/>
        </w:numPr>
      </w:pPr>
      <w:bookmarkStart w:id="6" w:name="_Toc6231623"/>
      <w:r w:rsidRPr="009E15A8">
        <w:t xml:space="preserve">Statewide Accountability System and School Support and Improvement Activities </w:t>
      </w:r>
    </w:p>
    <w:bookmarkEnd w:id="6"/>
    <w:p w14:paraId="1396FD1B" w14:textId="7FFB3257" w:rsidR="005017F4" w:rsidRPr="000100FA" w:rsidRDefault="005017F4" w:rsidP="000100FA">
      <w:pPr>
        <w:spacing w:after="0"/>
        <w:ind w:firstLine="720"/>
        <w:rPr>
          <w:rStyle w:val="SubtleEmphasis"/>
        </w:rPr>
      </w:pPr>
      <w:r w:rsidRPr="000100FA">
        <w:rPr>
          <w:rStyle w:val="SubtleEmphasis"/>
        </w:rPr>
        <w:t xml:space="preserve">(ESEA section 1111(c) and (d)): </w:t>
      </w:r>
    </w:p>
    <w:p w14:paraId="0DCC1458" w14:textId="327B344A" w:rsidR="006E69A5" w:rsidRPr="009E15A8" w:rsidRDefault="006E69A5" w:rsidP="006641B6">
      <w:pPr>
        <w:pStyle w:val="ListParagraph"/>
        <w:numPr>
          <w:ilvl w:val="2"/>
          <w:numId w:val="87"/>
        </w:numPr>
        <w:ind w:left="1080"/>
      </w:pPr>
      <w:bookmarkStart w:id="7" w:name="_Toc6231624"/>
      <w:r w:rsidRPr="009E15A8">
        <w:rPr>
          <w:rStyle w:val="Heading2Char"/>
          <w:sz w:val="22"/>
          <w:szCs w:val="22"/>
        </w:rPr>
        <w:t xml:space="preserve">Subgroups </w:t>
      </w:r>
      <w:r w:rsidRPr="009E15A8">
        <w:rPr>
          <w:rStyle w:val="Strong"/>
        </w:rPr>
        <w:t>(ESEA section 1111(c)(2)):</w:t>
      </w:r>
      <w:bookmarkEnd w:id="7"/>
    </w:p>
    <w:p w14:paraId="3458647D" w14:textId="7E869E46" w:rsidR="00BB00CD" w:rsidRPr="00D05740" w:rsidRDefault="00BB00CD" w:rsidP="006641B6">
      <w:pPr>
        <w:pStyle w:val="ListParagraph"/>
        <w:numPr>
          <w:ilvl w:val="0"/>
          <w:numId w:val="88"/>
        </w:numPr>
        <w:ind w:left="1440"/>
      </w:pPr>
      <w:r w:rsidRPr="009E15A8">
        <w:rPr>
          <w:rFonts w:ascii="Calibri" w:hAnsi="Calibri"/>
        </w:rPr>
        <w:t>List each major racial and ethnic group the State includes as a subgroup of students, consistent with ESEA section 1111(c</w:t>
      </w:r>
      <w:proofErr w:type="gramStart"/>
      <w:r w:rsidRPr="009E15A8">
        <w:rPr>
          <w:rFonts w:ascii="Calibri" w:hAnsi="Calibri"/>
        </w:rPr>
        <w:t>)(</w:t>
      </w:r>
      <w:proofErr w:type="gramEnd"/>
      <w:r w:rsidRPr="009E15A8">
        <w:rPr>
          <w:rFonts w:ascii="Calibri" w:hAnsi="Calibri"/>
        </w:rPr>
        <w:t xml:space="preserve">2)(B). </w:t>
      </w:r>
    </w:p>
    <w:p w14:paraId="752F623E" w14:textId="2798C1BA" w:rsidR="00BB00CD" w:rsidRDefault="00BB00CD" w:rsidP="001F2D1F">
      <w:pPr>
        <w:ind w:left="720"/>
        <w:rPr>
          <w:rFonts w:ascii="Calibri" w:hAnsi="Calibri"/>
        </w:rPr>
      </w:pPr>
      <w:r>
        <w:rPr>
          <w:rFonts w:ascii="Calibri" w:hAnsi="Calibri"/>
        </w:rPr>
        <w:t>The nine subgroups identified by the State for inclusion in</w:t>
      </w:r>
      <w:r w:rsidR="005428E5">
        <w:rPr>
          <w:rFonts w:ascii="Calibri" w:hAnsi="Calibri"/>
        </w:rPr>
        <w:t xml:space="preserve"> the accountability system are:</w:t>
      </w:r>
    </w:p>
    <w:p w14:paraId="35D8CEEC"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African American</w:t>
      </w:r>
    </w:p>
    <w:p w14:paraId="59870AE0"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Alaska Native/American Indian</w:t>
      </w:r>
    </w:p>
    <w:p w14:paraId="2CB916BB"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Asian/Pacific Islander</w:t>
      </w:r>
    </w:p>
    <w:p w14:paraId="53A9D83A"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Caucasian</w:t>
      </w:r>
    </w:p>
    <w:p w14:paraId="35D9102C"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Hispanic</w:t>
      </w:r>
    </w:p>
    <w:p w14:paraId="634E3F6D" w14:textId="77777777" w:rsidR="00BB00CD" w:rsidRPr="00FC12CD" w:rsidRDefault="00BB00CD" w:rsidP="006641B6">
      <w:pPr>
        <w:pStyle w:val="ListParagraph"/>
        <w:numPr>
          <w:ilvl w:val="0"/>
          <w:numId w:val="40"/>
        </w:numPr>
        <w:ind w:left="1440"/>
        <w:rPr>
          <w:rFonts w:ascii="Calibri" w:hAnsi="Calibri"/>
        </w:rPr>
      </w:pPr>
      <w:r w:rsidRPr="00FC12CD">
        <w:rPr>
          <w:rFonts w:ascii="Calibri" w:hAnsi="Calibri"/>
        </w:rPr>
        <w:t>Two or More Races</w:t>
      </w:r>
    </w:p>
    <w:p w14:paraId="4BE41176" w14:textId="77777777" w:rsidR="00BB00CD" w:rsidRDefault="00BB00CD" w:rsidP="006641B6">
      <w:pPr>
        <w:pStyle w:val="ListParagraph"/>
        <w:numPr>
          <w:ilvl w:val="0"/>
          <w:numId w:val="40"/>
        </w:numPr>
        <w:ind w:left="1440"/>
        <w:rPr>
          <w:rFonts w:ascii="Calibri" w:hAnsi="Calibri"/>
        </w:rPr>
      </w:pPr>
      <w:r w:rsidRPr="000706DA">
        <w:rPr>
          <w:rFonts w:ascii="Calibri" w:hAnsi="Calibri"/>
        </w:rPr>
        <w:t>Students with Disabilities</w:t>
      </w:r>
    </w:p>
    <w:p w14:paraId="077EC60B" w14:textId="0246D09F" w:rsidR="00BB00CD" w:rsidRDefault="00BB00CD" w:rsidP="006641B6">
      <w:pPr>
        <w:pStyle w:val="ListParagraph"/>
        <w:numPr>
          <w:ilvl w:val="0"/>
          <w:numId w:val="40"/>
        </w:numPr>
        <w:ind w:left="1440"/>
        <w:rPr>
          <w:rFonts w:ascii="Calibri" w:hAnsi="Calibri"/>
        </w:rPr>
      </w:pPr>
      <w:r w:rsidRPr="00143B08">
        <w:rPr>
          <w:rFonts w:ascii="Calibri" w:hAnsi="Calibri"/>
        </w:rPr>
        <w:t>English Learners</w:t>
      </w:r>
    </w:p>
    <w:p w14:paraId="37830D96" w14:textId="6307C6D4" w:rsidR="00484B15" w:rsidRPr="00484B15" w:rsidRDefault="00BB00CD" w:rsidP="006641B6">
      <w:pPr>
        <w:pStyle w:val="ListParagraph"/>
        <w:numPr>
          <w:ilvl w:val="0"/>
          <w:numId w:val="40"/>
        </w:numPr>
        <w:ind w:left="1440"/>
        <w:rPr>
          <w:rFonts w:ascii="Calibri" w:hAnsi="Calibri"/>
        </w:rPr>
      </w:pPr>
      <w:r w:rsidRPr="00484B15">
        <w:rPr>
          <w:rFonts w:ascii="Calibri" w:hAnsi="Calibri"/>
        </w:rPr>
        <w:t>Economically Disadvantaged</w:t>
      </w:r>
      <w:r w:rsidR="00484B15" w:rsidRPr="00484B15">
        <w:rPr>
          <w:rFonts w:ascii="Calibri" w:hAnsi="Calibri"/>
        </w:rPr>
        <w:t xml:space="preserve"> </w:t>
      </w:r>
    </w:p>
    <w:p w14:paraId="0EF3583C" w14:textId="13AD3614" w:rsidR="00BB00CD" w:rsidRPr="00484B15" w:rsidRDefault="00484B15" w:rsidP="001F2D1F">
      <w:pPr>
        <w:ind w:left="180" w:firstLine="720"/>
        <w:rPr>
          <w:rFonts w:ascii="Calibri" w:hAnsi="Calibri"/>
        </w:rPr>
      </w:pPr>
      <w:r w:rsidRPr="00BB00CD">
        <w:rPr>
          <w:rFonts w:ascii="Calibri" w:hAnsi="Calibri"/>
        </w:rPr>
        <w:t>These subgroups are those required under ESSA.</w:t>
      </w:r>
    </w:p>
    <w:p w14:paraId="5D3C5DB3" w14:textId="74195A20" w:rsidR="00BB00CD" w:rsidRPr="009E15A8" w:rsidRDefault="00BB00CD" w:rsidP="006641B6">
      <w:pPr>
        <w:pStyle w:val="Default"/>
        <w:numPr>
          <w:ilvl w:val="0"/>
          <w:numId w:val="88"/>
        </w:numPr>
        <w:ind w:left="1440"/>
        <w:rPr>
          <w:rFonts w:ascii="Calibri" w:hAnsi="Calibri"/>
          <w:sz w:val="22"/>
          <w:szCs w:val="22"/>
        </w:rPr>
      </w:pPr>
      <w:r w:rsidRPr="009E15A8">
        <w:rPr>
          <w:rFonts w:ascii="Calibri" w:hAnsi="Calibri"/>
          <w:sz w:val="22"/>
          <w:szCs w:val="22"/>
        </w:rPr>
        <w:t>If applicable, describe any additional subgroups of students other than the statutorily required subgroups (</w:t>
      </w:r>
      <w:r w:rsidRPr="009E15A8">
        <w:rPr>
          <w:rFonts w:ascii="Calibri" w:hAnsi="Calibri"/>
          <w:i/>
          <w:iCs/>
          <w:sz w:val="22"/>
          <w:szCs w:val="22"/>
        </w:rPr>
        <w:t>i.e.</w:t>
      </w:r>
      <w:r w:rsidRPr="009E15A8">
        <w:rPr>
          <w:rFonts w:ascii="Calibri" w:hAnsi="Calibri"/>
          <w:sz w:val="22"/>
          <w:szCs w:val="22"/>
        </w:rPr>
        <w:t xml:space="preserve">, economically disadvantaged students, students from major racial and ethnic groups, children with disabilities, and English learners) used in the Statewide accountability system. </w:t>
      </w:r>
    </w:p>
    <w:p w14:paraId="6A28C91E" w14:textId="22B67EBB" w:rsidR="00BB00CD" w:rsidRDefault="00BB00CD" w:rsidP="005428E5">
      <w:pPr>
        <w:pStyle w:val="Default"/>
        <w:ind w:left="1620"/>
        <w:rPr>
          <w:rFonts w:ascii="Calibri" w:hAnsi="Calibri"/>
          <w:sz w:val="22"/>
          <w:szCs w:val="22"/>
        </w:rPr>
      </w:pPr>
    </w:p>
    <w:p w14:paraId="2C008C97" w14:textId="77777777" w:rsidR="00BB00CD" w:rsidRDefault="00BB00CD" w:rsidP="001F2D1F">
      <w:pPr>
        <w:ind w:firstLine="720"/>
        <w:rPr>
          <w:rFonts w:ascii="Calibri" w:hAnsi="Calibri"/>
        </w:rPr>
      </w:pPr>
      <w:r>
        <w:rPr>
          <w:rFonts w:ascii="Calibri" w:hAnsi="Calibri"/>
        </w:rPr>
        <w:t>None</w:t>
      </w:r>
      <w:r w:rsidRPr="00BB00CD">
        <w:rPr>
          <w:rFonts w:ascii="Calibri" w:hAnsi="Calibri"/>
        </w:rPr>
        <w:t xml:space="preserve"> </w:t>
      </w:r>
    </w:p>
    <w:p w14:paraId="2BC8CCF9" w14:textId="77777777" w:rsidR="00BB00CD" w:rsidRPr="00697AC2" w:rsidRDefault="00BB00CD" w:rsidP="005428E5">
      <w:pPr>
        <w:pStyle w:val="Default"/>
        <w:ind w:left="1620"/>
        <w:rPr>
          <w:rFonts w:ascii="Calibri" w:hAnsi="Calibri"/>
          <w:sz w:val="22"/>
          <w:szCs w:val="22"/>
        </w:rPr>
      </w:pPr>
    </w:p>
    <w:p w14:paraId="07D1B286" w14:textId="55C954F3" w:rsidR="00BB00CD" w:rsidRPr="009E15A8" w:rsidRDefault="00BB00CD" w:rsidP="006641B6">
      <w:pPr>
        <w:pStyle w:val="Default"/>
        <w:numPr>
          <w:ilvl w:val="0"/>
          <w:numId w:val="88"/>
        </w:numPr>
        <w:spacing w:after="120"/>
        <w:ind w:left="1440"/>
        <w:rPr>
          <w:rFonts w:ascii="Calibri" w:hAnsi="Calibri"/>
          <w:sz w:val="22"/>
          <w:szCs w:val="22"/>
        </w:rPr>
      </w:pPr>
      <w:r w:rsidRPr="009E15A8">
        <w:rPr>
          <w:rFonts w:ascii="Calibri" w:hAnsi="Calibri"/>
          <w:sz w:val="22"/>
          <w:szCs w:val="22"/>
        </w:rPr>
        <w:t xml:space="preserve">Does the State intend to include in the English learner subgroup the results of students previously identified as English learners on the State assessments required under ESEA section 1111(b)(2)(B)(v)(I) for purposes of State accountability (ESEA section 1111(b)(3)(B))? Note that a student’s results may be included in the English learner subgroup </w:t>
      </w:r>
      <w:r w:rsidRPr="009E15A8">
        <w:rPr>
          <w:rFonts w:ascii="Calibri" w:hAnsi="Calibri"/>
          <w:color w:val="auto"/>
          <w:sz w:val="22"/>
          <w:szCs w:val="22"/>
        </w:rPr>
        <w:t xml:space="preserve">for not more than four years after the student ceases to be identified as an English learner. </w:t>
      </w:r>
    </w:p>
    <w:p w14:paraId="5E03036C" w14:textId="47E64EB4" w:rsidR="00BB00CD" w:rsidRPr="00697AC2" w:rsidRDefault="00A12A18" w:rsidP="001F2D1F">
      <w:pPr>
        <w:pStyle w:val="Default"/>
        <w:ind w:left="720"/>
        <w:rPr>
          <w:rFonts w:ascii="Calibri" w:hAnsi="Calibri"/>
          <w:sz w:val="22"/>
          <w:szCs w:val="22"/>
        </w:rPr>
      </w:pPr>
      <w:sdt>
        <w:sdtPr>
          <w:rPr>
            <w:rFonts w:ascii="Calibri" w:hAnsi="Calibri"/>
            <w:sz w:val="22"/>
            <w:szCs w:val="22"/>
          </w:rPr>
          <w:id w:val="-808630458"/>
          <w14:checkbox>
            <w14:checked w14:val="1"/>
            <w14:checkedState w14:val="2612" w14:font="MS Gothic"/>
            <w14:uncheckedState w14:val="2610" w14:font="MS Gothic"/>
          </w14:checkbox>
        </w:sdtPr>
        <w:sdtEndPr/>
        <w:sdtContent>
          <w:r w:rsidR="001F2D1F">
            <w:rPr>
              <w:rFonts w:ascii="MS Gothic" w:eastAsia="MS Gothic" w:hAnsi="MS Gothic" w:hint="eastAsia"/>
              <w:sz w:val="22"/>
              <w:szCs w:val="22"/>
            </w:rPr>
            <w:t>☒</w:t>
          </w:r>
        </w:sdtContent>
      </w:sdt>
      <w:r w:rsidR="00BB00CD" w:rsidRPr="00697AC2">
        <w:rPr>
          <w:rFonts w:ascii="Calibri" w:hAnsi="Calibri"/>
          <w:sz w:val="22"/>
          <w:szCs w:val="22"/>
        </w:rPr>
        <w:t xml:space="preserve">Yes </w:t>
      </w:r>
    </w:p>
    <w:p w14:paraId="34A73F8B" w14:textId="77777777" w:rsidR="00BB00CD" w:rsidRDefault="00A12A18" w:rsidP="001F2D1F">
      <w:pPr>
        <w:ind w:left="720"/>
        <w:rPr>
          <w:rFonts w:ascii="Calibri" w:hAnsi="Calibri"/>
        </w:rPr>
      </w:pPr>
      <w:sdt>
        <w:sdtPr>
          <w:rPr>
            <w:rFonts w:ascii="Calibri" w:hAnsi="Calibri"/>
          </w:rPr>
          <w:id w:val="-1574879311"/>
          <w14:checkbox>
            <w14:checked w14:val="0"/>
            <w14:checkedState w14:val="2612" w14:font="MS Gothic"/>
            <w14:uncheckedState w14:val="2610" w14:font="MS Gothic"/>
          </w14:checkbox>
        </w:sdtPr>
        <w:sdtEndPr/>
        <w:sdtContent>
          <w:r w:rsidR="00BB00CD" w:rsidRPr="00697AC2">
            <w:rPr>
              <w:rFonts w:ascii="Segoe UI Symbol" w:eastAsia="MS Gothic" w:hAnsi="Segoe UI Symbol" w:cs="Segoe UI Symbol"/>
            </w:rPr>
            <w:t>☐</w:t>
          </w:r>
        </w:sdtContent>
      </w:sdt>
      <w:r w:rsidR="00BB00CD" w:rsidRPr="00697AC2">
        <w:rPr>
          <w:rFonts w:ascii="Calibri" w:hAnsi="Calibri"/>
        </w:rPr>
        <w:t>No</w:t>
      </w:r>
    </w:p>
    <w:p w14:paraId="4A3B7AE2" w14:textId="514A9E42" w:rsidR="00BB00CD" w:rsidRPr="009E15A8" w:rsidRDefault="00BB00CD" w:rsidP="001F2D1F">
      <w:pPr>
        <w:pStyle w:val="Default"/>
        <w:ind w:left="720"/>
        <w:rPr>
          <w:rFonts w:ascii="Calibri" w:eastAsia="MS Gothic" w:hAnsi="Calibri" w:cs="Segoe UI Symbol"/>
          <w:sz w:val="22"/>
          <w:szCs w:val="22"/>
        </w:rPr>
      </w:pPr>
      <w:r w:rsidRPr="009E15A8">
        <w:rPr>
          <w:rFonts w:ascii="Calibri" w:eastAsia="MS Gothic" w:hAnsi="Calibri" w:cs="Segoe UI Symbol"/>
          <w:sz w:val="22"/>
          <w:szCs w:val="22"/>
        </w:rPr>
        <w:t>Alaska has included students formerly identified as English learners for two years in the accountability system under NCLB. The State will include formerly identified English learners in the accountability system for four years. Alaska will phase in this provision by including students formerly identified as ELs for three years after exit beginning in the 2018-2019 school year, and for four years after exit beginning in the 2019-2020 school year. Stakeholders have indicated over time that it is important to recognize the progress made by English learners and to include their assessment results for a period of time after they have become proficient in English.</w:t>
      </w:r>
    </w:p>
    <w:p w14:paraId="36A6355A" w14:textId="77777777" w:rsidR="00BB00CD" w:rsidRPr="00697AC2" w:rsidRDefault="00BB00CD" w:rsidP="005428E5">
      <w:pPr>
        <w:pStyle w:val="Default"/>
        <w:ind w:left="1440"/>
        <w:rPr>
          <w:rFonts w:ascii="Calibri" w:hAnsi="Calibri"/>
          <w:sz w:val="22"/>
          <w:szCs w:val="22"/>
        </w:rPr>
      </w:pPr>
    </w:p>
    <w:p w14:paraId="66D29FF3" w14:textId="17A2CC8F" w:rsidR="00BB00CD" w:rsidRPr="009E15A8" w:rsidRDefault="00BB00CD" w:rsidP="006641B6">
      <w:pPr>
        <w:pStyle w:val="Default"/>
        <w:numPr>
          <w:ilvl w:val="0"/>
          <w:numId w:val="88"/>
        </w:numPr>
        <w:ind w:left="1440"/>
        <w:rPr>
          <w:rFonts w:ascii="Calibri" w:hAnsi="Calibri"/>
          <w:sz w:val="22"/>
          <w:szCs w:val="22"/>
        </w:rPr>
      </w:pPr>
      <w:r w:rsidRPr="009E15A8">
        <w:rPr>
          <w:rFonts w:ascii="Calibri" w:hAnsi="Calibri"/>
          <w:sz w:val="22"/>
          <w:szCs w:val="22"/>
        </w:rPr>
        <w:t xml:space="preserve">If applicable, choose one of the following options for recently arrived English learners in the State: </w:t>
      </w:r>
    </w:p>
    <w:p w14:paraId="787D78E3" w14:textId="5F66E454" w:rsidR="00BB00CD" w:rsidRPr="00697AC2" w:rsidRDefault="00A12A18" w:rsidP="005428E5">
      <w:pPr>
        <w:pStyle w:val="Default"/>
        <w:ind w:left="1440"/>
        <w:rPr>
          <w:rFonts w:ascii="Calibri" w:eastAsia="MS Gothic" w:hAnsi="Calibri"/>
          <w:sz w:val="22"/>
          <w:szCs w:val="22"/>
        </w:rPr>
      </w:pPr>
      <w:sdt>
        <w:sdtPr>
          <w:rPr>
            <w:rFonts w:ascii="Calibri" w:eastAsia="MS Gothic" w:hAnsi="Calibri" w:cs="MS Gothic"/>
            <w:sz w:val="22"/>
            <w:szCs w:val="22"/>
          </w:rPr>
          <w:id w:val="-714890146"/>
          <w14:checkbox>
            <w14:checked w14:val="1"/>
            <w14:checkedState w14:val="2612" w14:font="MS Gothic"/>
            <w14:uncheckedState w14:val="2610" w14:font="MS Gothic"/>
          </w14:checkbox>
        </w:sdtPr>
        <w:sdtEndPr/>
        <w:sdtContent>
          <w:r w:rsidR="00BB00CD">
            <w:rPr>
              <w:rFonts w:ascii="MS Gothic" w:eastAsia="MS Gothic" w:hAnsi="MS Gothic" w:cs="MS Gothic" w:hint="eastAsia"/>
              <w:sz w:val="22"/>
              <w:szCs w:val="22"/>
            </w:rPr>
            <w:t>☒</w:t>
          </w:r>
        </w:sdtContent>
      </w:sdt>
      <w:r w:rsidR="00BB00CD" w:rsidRPr="00697AC2">
        <w:rPr>
          <w:rFonts w:ascii="Calibri" w:eastAsia="MS Gothic" w:hAnsi="Calibri" w:cs="MS Gothic"/>
          <w:sz w:val="22"/>
          <w:szCs w:val="22"/>
        </w:rPr>
        <w:t xml:space="preserve"> </w:t>
      </w:r>
      <w:r w:rsidR="00BB00CD" w:rsidRPr="00697AC2">
        <w:rPr>
          <w:rFonts w:ascii="Calibri" w:eastAsia="MS Gothic" w:hAnsi="Calibri"/>
          <w:sz w:val="22"/>
          <w:szCs w:val="22"/>
        </w:rPr>
        <w:t>Applying the exception under ESEA section 1111(b</w:t>
      </w:r>
      <w:proofErr w:type="gramStart"/>
      <w:r w:rsidR="00BB00CD" w:rsidRPr="00697AC2">
        <w:rPr>
          <w:rFonts w:ascii="Calibri" w:eastAsia="MS Gothic" w:hAnsi="Calibri"/>
          <w:sz w:val="22"/>
          <w:szCs w:val="22"/>
        </w:rPr>
        <w:t>)(</w:t>
      </w:r>
      <w:proofErr w:type="gramEnd"/>
      <w:r w:rsidR="00BB00CD" w:rsidRPr="00697AC2">
        <w:rPr>
          <w:rFonts w:ascii="Calibri" w:eastAsia="MS Gothic" w:hAnsi="Calibri"/>
          <w:sz w:val="22"/>
          <w:szCs w:val="22"/>
        </w:rPr>
        <w:t xml:space="preserve">3)(A)(i); or </w:t>
      </w:r>
    </w:p>
    <w:p w14:paraId="0093891D" w14:textId="35932B95" w:rsidR="00BB00CD" w:rsidRPr="00697AC2" w:rsidRDefault="00A12A18" w:rsidP="005428E5">
      <w:pPr>
        <w:pStyle w:val="Default"/>
        <w:ind w:left="1440"/>
        <w:rPr>
          <w:rFonts w:ascii="Calibri" w:eastAsia="MS Gothic" w:hAnsi="Calibri"/>
          <w:sz w:val="22"/>
          <w:szCs w:val="22"/>
        </w:rPr>
      </w:pPr>
      <w:sdt>
        <w:sdtPr>
          <w:rPr>
            <w:rFonts w:ascii="Calibri" w:eastAsia="MS Gothic" w:hAnsi="Calibri"/>
            <w:sz w:val="22"/>
            <w:szCs w:val="22"/>
          </w:rPr>
          <w:id w:val="361408572"/>
          <w14:checkbox>
            <w14:checked w14:val="0"/>
            <w14:checkedState w14:val="2612" w14:font="MS Gothic"/>
            <w14:uncheckedState w14:val="2610" w14:font="MS Gothic"/>
          </w14:checkbox>
        </w:sdtPr>
        <w:sdtEndPr/>
        <w:sdtContent>
          <w:r w:rsidR="00484B15">
            <w:rPr>
              <w:rFonts w:ascii="MS Gothic" w:eastAsia="MS Gothic" w:hAnsi="MS Gothic" w:hint="eastAsia"/>
              <w:sz w:val="22"/>
              <w:szCs w:val="22"/>
            </w:rPr>
            <w:t>☐</w:t>
          </w:r>
        </w:sdtContent>
      </w:sdt>
      <w:r w:rsidR="00BB00CD">
        <w:rPr>
          <w:rFonts w:ascii="Calibri" w:eastAsia="MS Gothic" w:hAnsi="Calibri"/>
          <w:sz w:val="22"/>
          <w:szCs w:val="22"/>
        </w:rPr>
        <w:t xml:space="preserve"> </w:t>
      </w:r>
      <w:r w:rsidR="00BB00CD" w:rsidRPr="00697AC2">
        <w:rPr>
          <w:rFonts w:ascii="Calibri" w:eastAsia="MS Gothic" w:hAnsi="Calibri"/>
          <w:sz w:val="22"/>
          <w:szCs w:val="22"/>
        </w:rPr>
        <w:t>Applying the exception under ESEA section 1111(b</w:t>
      </w:r>
      <w:proofErr w:type="gramStart"/>
      <w:r w:rsidR="00BB00CD" w:rsidRPr="00697AC2">
        <w:rPr>
          <w:rFonts w:ascii="Calibri" w:eastAsia="MS Gothic" w:hAnsi="Calibri"/>
          <w:sz w:val="22"/>
          <w:szCs w:val="22"/>
        </w:rPr>
        <w:t>)(</w:t>
      </w:r>
      <w:proofErr w:type="gramEnd"/>
      <w:r w:rsidR="00BB00CD" w:rsidRPr="00697AC2">
        <w:rPr>
          <w:rFonts w:ascii="Calibri" w:eastAsia="MS Gothic" w:hAnsi="Calibri"/>
          <w:sz w:val="22"/>
          <w:szCs w:val="22"/>
        </w:rPr>
        <w:t xml:space="preserve">3)(A)(ii); or </w:t>
      </w:r>
    </w:p>
    <w:p w14:paraId="36FFDFB3" w14:textId="77777777" w:rsidR="00BB00CD" w:rsidRDefault="00A12A18" w:rsidP="005428E5">
      <w:pPr>
        <w:pStyle w:val="Default"/>
        <w:ind w:left="1440"/>
        <w:rPr>
          <w:rFonts w:ascii="Calibri" w:eastAsia="MS Gothic" w:hAnsi="Calibri"/>
          <w:sz w:val="22"/>
          <w:szCs w:val="22"/>
        </w:rPr>
      </w:pPr>
      <w:sdt>
        <w:sdtPr>
          <w:rPr>
            <w:rFonts w:ascii="Calibri" w:eastAsia="MS Gothic" w:hAnsi="Calibri" w:cs="MS Gothic"/>
            <w:sz w:val="22"/>
            <w:szCs w:val="22"/>
          </w:rPr>
          <w:id w:val="1566685761"/>
          <w14:checkbox>
            <w14:checked w14:val="0"/>
            <w14:checkedState w14:val="2612" w14:font="MS Gothic"/>
            <w14:uncheckedState w14:val="2610" w14:font="MS Gothic"/>
          </w14:checkbox>
        </w:sdtPr>
        <w:sdtEndPr/>
        <w:sdtContent>
          <w:r w:rsidR="00BB00CD">
            <w:rPr>
              <w:rFonts w:ascii="MS Gothic" w:eastAsia="MS Gothic" w:hAnsi="MS Gothic" w:cs="MS Gothic" w:hint="eastAsia"/>
              <w:sz w:val="22"/>
              <w:szCs w:val="22"/>
            </w:rPr>
            <w:t>☐</w:t>
          </w:r>
        </w:sdtContent>
      </w:sdt>
      <w:r w:rsidR="00BB00CD" w:rsidRPr="00697AC2">
        <w:rPr>
          <w:rFonts w:ascii="Calibri" w:eastAsia="MS Gothic" w:hAnsi="Calibri" w:cs="MS Gothic"/>
          <w:sz w:val="22"/>
          <w:szCs w:val="22"/>
        </w:rPr>
        <w:t xml:space="preserve"> </w:t>
      </w:r>
      <w:r w:rsidR="00BB00CD" w:rsidRPr="00697AC2">
        <w:rPr>
          <w:rFonts w:ascii="Calibri" w:eastAsia="MS Gothic" w:hAnsi="Calibri"/>
          <w:sz w:val="22"/>
          <w:szCs w:val="22"/>
        </w:rPr>
        <w:t>Applying the exception under ESEA section 1111(b</w:t>
      </w:r>
      <w:proofErr w:type="gramStart"/>
      <w:r w:rsidR="00BB00CD" w:rsidRPr="00697AC2">
        <w:rPr>
          <w:rFonts w:ascii="Calibri" w:eastAsia="MS Gothic" w:hAnsi="Calibri"/>
          <w:sz w:val="22"/>
          <w:szCs w:val="22"/>
        </w:rPr>
        <w:t>)(</w:t>
      </w:r>
      <w:proofErr w:type="gramEnd"/>
      <w:r w:rsidR="00BB00CD" w:rsidRPr="00697AC2">
        <w:rPr>
          <w:rFonts w:ascii="Calibri" w:eastAsia="MS Gothic" w:hAnsi="Calibri"/>
          <w:sz w:val="22"/>
          <w:szCs w:val="22"/>
        </w:rPr>
        <w:t xml:space="preserve">3)(A)(i) or under ESEA section 1111(b)(3)(A)(ii). If this option is selected, describe how the State will choose which exception applies to a recently arrived English learner. </w:t>
      </w:r>
    </w:p>
    <w:p w14:paraId="1135986B" w14:textId="77777777" w:rsidR="00BB00CD" w:rsidRDefault="00BB00CD" w:rsidP="005428E5">
      <w:pPr>
        <w:pStyle w:val="Default"/>
        <w:ind w:left="1440"/>
        <w:rPr>
          <w:rFonts w:ascii="Calibri" w:eastAsia="MS Gothic" w:hAnsi="Calibri"/>
          <w:sz w:val="22"/>
          <w:szCs w:val="22"/>
        </w:rPr>
      </w:pPr>
    </w:p>
    <w:p w14:paraId="394F0804" w14:textId="0932F58F" w:rsidR="00BB00CD" w:rsidRPr="00BB00CD" w:rsidRDefault="00BB00CD" w:rsidP="009E15A8">
      <w:pPr>
        <w:ind w:left="720"/>
      </w:pPr>
      <w:r>
        <w:t>C</w:t>
      </w:r>
      <w:r w:rsidRPr="00E73DFD">
        <w:t>onsistent with current practice in Alaska</w:t>
      </w:r>
      <w:r>
        <w:t>, exception 1111(b</w:t>
      </w:r>
      <w:proofErr w:type="gramStart"/>
      <w:r>
        <w:t>)(</w:t>
      </w:r>
      <w:proofErr w:type="gramEnd"/>
      <w:r>
        <w:t>3)(A)(i) allows the state to exempt r</w:t>
      </w:r>
      <w:r w:rsidRPr="00E73DFD">
        <w:t>ec</w:t>
      </w:r>
      <w:r>
        <w:t>ently arrived English learners from one administration of the English language arts (ELA) content assessment. EL students must take the math assessment and the English language proficiency assessment. Performance on the math content assessment may be excluded from the accountability system during the recently arrived EL’s first year. In the following years, the student must take the ELA and math content assessments, and those scores are included in the accountability system.</w:t>
      </w:r>
    </w:p>
    <w:p w14:paraId="53CCEC59" w14:textId="2370DEB8" w:rsidR="006E69A5" w:rsidRPr="009E15A8" w:rsidRDefault="006E69A5" w:rsidP="006641B6">
      <w:pPr>
        <w:pStyle w:val="ListParagraph"/>
        <w:numPr>
          <w:ilvl w:val="2"/>
          <w:numId w:val="87"/>
        </w:numPr>
        <w:ind w:left="1080"/>
        <w:rPr>
          <w:rStyle w:val="Heading2Char"/>
          <w:sz w:val="22"/>
          <w:szCs w:val="22"/>
        </w:rPr>
      </w:pPr>
      <w:bookmarkStart w:id="8" w:name="_Toc6231625"/>
      <w:r w:rsidRPr="009E15A8">
        <w:rPr>
          <w:rStyle w:val="Heading2Char"/>
          <w:sz w:val="22"/>
          <w:szCs w:val="22"/>
        </w:rPr>
        <w:t>Minimum N-Size</w:t>
      </w:r>
      <w:bookmarkEnd w:id="8"/>
      <w:r w:rsidR="00BB00CD" w:rsidRPr="009E15A8">
        <w:rPr>
          <w:rStyle w:val="Heading2Char"/>
          <w:sz w:val="22"/>
          <w:szCs w:val="22"/>
        </w:rPr>
        <w:t xml:space="preserve"> </w:t>
      </w:r>
      <w:r w:rsidR="00BB00CD" w:rsidRPr="009E15A8">
        <w:t>(ESEA section 1111(c)(3)(A))</w:t>
      </w:r>
    </w:p>
    <w:p w14:paraId="271E1C32" w14:textId="35303089" w:rsidR="001009C8" w:rsidRPr="005428E5" w:rsidRDefault="001009C8" w:rsidP="006641B6">
      <w:pPr>
        <w:pStyle w:val="ListParagraph"/>
        <w:numPr>
          <w:ilvl w:val="0"/>
          <w:numId w:val="89"/>
        </w:numPr>
        <w:ind w:left="1440"/>
      </w:pPr>
      <w:r w:rsidRPr="005428E5">
        <w:t xml:space="preserve">Provide the minimum number of students that the State determines are necessary to be included to carry out the requirements of any provisions under Title I, Part A of the ESEA that require disaggregation of information by each subgroup of students for accountability purposes. </w:t>
      </w:r>
    </w:p>
    <w:p w14:paraId="5347D77B" w14:textId="6543CC30" w:rsidR="001009C8" w:rsidRPr="009E15A8" w:rsidRDefault="001009C8" w:rsidP="009E15A8">
      <w:pPr>
        <w:ind w:left="720"/>
      </w:pPr>
      <w:r w:rsidRPr="009E15A8">
        <w:t xml:space="preserve">Alaska will use 10 as the minimum number of students (minimum </w:t>
      </w:r>
      <w:r w:rsidRPr="009E15A8">
        <w:rPr>
          <w:i/>
        </w:rPr>
        <w:t>n</w:t>
      </w:r>
      <w:r w:rsidRPr="009E15A8">
        <w:t xml:space="preserve">-size) necessary for an indicator to be included in a school’s accountability score and designation. The minimum </w:t>
      </w:r>
      <w:r w:rsidRPr="009E15A8">
        <w:rPr>
          <w:i/>
        </w:rPr>
        <w:t>n-</w:t>
      </w:r>
      <w:r w:rsidRPr="009E15A8">
        <w:t xml:space="preserve">size of 10 applies to the all students group and other subgroups for all purposes of the accountability system. As has been the case in Alaska, the minimum </w:t>
      </w:r>
      <w:r w:rsidRPr="009E15A8">
        <w:rPr>
          <w:i/>
        </w:rPr>
        <w:t>n</w:t>
      </w:r>
      <w:r w:rsidRPr="009E15A8">
        <w:t>-size represents a balance between recognizing the small size of many subgroups and schools, prioritizing and ensuring student privacy, and incorporating actionable data into the accountability system.</w:t>
      </w:r>
    </w:p>
    <w:p w14:paraId="6E6BC494" w14:textId="225279F4" w:rsidR="001009C8" w:rsidRPr="005428E5" w:rsidRDefault="001009C8" w:rsidP="006641B6">
      <w:pPr>
        <w:pStyle w:val="ListParagraph"/>
        <w:numPr>
          <w:ilvl w:val="0"/>
          <w:numId w:val="89"/>
        </w:numPr>
        <w:ind w:left="1440"/>
      </w:pPr>
      <w:r w:rsidRPr="005428E5">
        <w:t>Describe how the minimum number of students is statistically sound.</w:t>
      </w:r>
    </w:p>
    <w:p w14:paraId="26FA2230" w14:textId="037BB230" w:rsidR="001009C8" w:rsidRPr="001E6D7B" w:rsidRDefault="001009C8" w:rsidP="001F2D1F">
      <w:pPr>
        <w:ind w:left="720"/>
        <w:rPr>
          <w:noProof/>
        </w:rPr>
      </w:pPr>
      <w:r w:rsidRPr="001E6D7B">
        <w:rPr>
          <w:rFonts w:ascii="Calibri" w:eastAsia="MS Gothic" w:hAnsi="Calibri"/>
        </w:rPr>
        <w:t xml:space="preserve">In proposing a minimum </w:t>
      </w:r>
      <w:r w:rsidRPr="001E6D7B">
        <w:rPr>
          <w:rFonts w:ascii="Calibri" w:eastAsia="MS Gothic" w:hAnsi="Calibri"/>
          <w:i/>
        </w:rPr>
        <w:t>n</w:t>
      </w:r>
      <w:r w:rsidRPr="001E6D7B">
        <w:rPr>
          <w:rFonts w:ascii="Calibri" w:eastAsia="MS Gothic" w:hAnsi="Calibri"/>
        </w:rPr>
        <w:t xml:space="preserve">-size of 10, Alaska considered the number of students in the all students group as well as those in subgroups that would be included in the accountability system for academic achievement. DEED analyzed data for minimum </w:t>
      </w:r>
      <w:r w:rsidRPr="001E6D7B">
        <w:rPr>
          <w:rFonts w:ascii="Calibri" w:eastAsia="MS Gothic" w:hAnsi="Calibri"/>
          <w:i/>
        </w:rPr>
        <w:t>n-</w:t>
      </w:r>
      <w:r w:rsidRPr="001E6D7B">
        <w:rPr>
          <w:rFonts w:ascii="Calibri" w:eastAsia="MS Gothic" w:hAnsi="Calibri"/>
        </w:rPr>
        <w:t xml:space="preserve">sizes of five, 10, 15, and 20. The chart below shows the number of schools that would be included in the accountability system for the all students group as well as the other subgroups based on one year of data in 2015. The number of schools included in the accountability system for the all students group ranged from 94.3% with an </w:t>
      </w:r>
      <w:r w:rsidRPr="001E6D7B">
        <w:rPr>
          <w:rFonts w:ascii="Calibri" w:eastAsia="MS Gothic" w:hAnsi="Calibri"/>
          <w:i/>
        </w:rPr>
        <w:t>n-</w:t>
      </w:r>
      <w:r w:rsidRPr="001E6D7B">
        <w:rPr>
          <w:rFonts w:ascii="Calibri" w:eastAsia="MS Gothic" w:hAnsi="Calibri"/>
        </w:rPr>
        <w:t xml:space="preserve">size of five, to 86.7% with an </w:t>
      </w:r>
      <w:r w:rsidRPr="001E6D7B">
        <w:rPr>
          <w:rFonts w:ascii="Calibri" w:eastAsia="MS Gothic" w:hAnsi="Calibri"/>
          <w:i/>
        </w:rPr>
        <w:t>n-</w:t>
      </w:r>
      <w:r w:rsidRPr="001E6D7B">
        <w:rPr>
          <w:rFonts w:ascii="Calibri" w:eastAsia="MS Gothic" w:hAnsi="Calibri"/>
        </w:rPr>
        <w:t xml:space="preserve">size of 10, and 80.6% with an </w:t>
      </w:r>
      <w:r w:rsidRPr="001E6D7B">
        <w:rPr>
          <w:rFonts w:ascii="Calibri" w:eastAsia="MS Gothic" w:hAnsi="Calibri"/>
          <w:i/>
        </w:rPr>
        <w:t>n-</w:t>
      </w:r>
      <w:r w:rsidRPr="001E6D7B">
        <w:rPr>
          <w:rFonts w:ascii="Calibri" w:eastAsia="MS Gothic" w:hAnsi="Calibri"/>
        </w:rPr>
        <w:t xml:space="preserve">size of 15. </w:t>
      </w:r>
    </w:p>
    <w:p w14:paraId="091C648B" w14:textId="12524626" w:rsidR="001009C8" w:rsidRPr="001E6D7B" w:rsidRDefault="001009C8" w:rsidP="0064319B">
      <w:pPr>
        <w:ind w:left="720"/>
        <w:jc w:val="center"/>
        <w:rPr>
          <w:rFonts w:ascii="Calibri" w:hAnsi="Calibri"/>
        </w:rPr>
      </w:pPr>
      <w:r w:rsidRPr="002F73FB">
        <w:rPr>
          <w:noProof/>
        </w:rPr>
        <w:lastRenderedPageBreak/>
        <w:drawing>
          <wp:inline distT="0" distB="0" distL="0" distR="0" wp14:anchorId="2CB34CA9" wp14:editId="3936D944">
            <wp:extent cx="4572000" cy="2743200"/>
            <wp:effectExtent l="0" t="0" r="0" b="0"/>
            <wp:docPr id="5" name="Chart 5" descr="Chart that demonstrates the relationship between n sizes and the number of schools that would be represented with each n-size.  With an n-size of 5, 94.3% of all schools, sll students would be reprsented in the accountability system but with an n-size of 15, only 80.6% would be represen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49F11B" w14:textId="77777777" w:rsidR="001009C8" w:rsidRPr="001E6D7B" w:rsidRDefault="001009C8" w:rsidP="009E15A8">
      <w:pPr>
        <w:ind w:left="720"/>
      </w:pPr>
      <w:r w:rsidRPr="001E6D7B">
        <w:t xml:space="preserve">Most stakeholders indicated a preference for an </w:t>
      </w:r>
      <w:r w:rsidRPr="001E6D7B">
        <w:rPr>
          <w:i/>
        </w:rPr>
        <w:t>n-</w:t>
      </w:r>
      <w:r w:rsidRPr="001E6D7B">
        <w:t xml:space="preserve">size between five and 10 to include as many subgroups in as many schools as possible. In considering the impact of </w:t>
      </w:r>
      <w:r w:rsidRPr="001E6D7B">
        <w:rPr>
          <w:i/>
        </w:rPr>
        <w:t>n</w:t>
      </w:r>
      <w:r w:rsidRPr="001E6D7B">
        <w:t xml:space="preserve">-sizes of five and 10, Alaska reviewed data on the percentage of students and the percentage of schools that would be included for the all students group and for the four major subgroups represented in Alaska. The data showed that most of the students in the state would be included under either scenario. The difference in the percentage of students included is more a factor of the number of small schools in the state than it is a factor of the minimum </w:t>
      </w:r>
      <w:r w:rsidRPr="001E6D7B">
        <w:rPr>
          <w:i/>
        </w:rPr>
        <w:t>n-</w:t>
      </w:r>
      <w:r w:rsidRPr="001E6D7B">
        <w:t xml:space="preserve">size. There was a greater difference in the percentage of schools that would be captured for the all students group as well as for the major subgroups. </w:t>
      </w:r>
    </w:p>
    <w:p w14:paraId="26DBF00E" w14:textId="066473AD" w:rsidR="001009C8" w:rsidRPr="001E6D7B" w:rsidRDefault="001009C8" w:rsidP="009E15A8">
      <w:pPr>
        <w:ind w:left="720"/>
      </w:pPr>
      <w:r w:rsidRPr="001E6D7B">
        <w:t xml:space="preserve">Data variability from year to year was also considered. With small </w:t>
      </w:r>
      <w:r w:rsidRPr="001E6D7B">
        <w:rPr>
          <w:i/>
        </w:rPr>
        <w:t>n-</w:t>
      </w:r>
      <w:r w:rsidRPr="001E6D7B">
        <w:t xml:space="preserve">sizes, the change in one student’s performance (from proficient to not proficient for example), has a significant impact on the school’s achievement. For example, with an </w:t>
      </w:r>
      <w:r w:rsidRPr="001E6D7B">
        <w:rPr>
          <w:i/>
        </w:rPr>
        <w:softHyphen/>
        <w:t>n</w:t>
      </w:r>
      <w:r w:rsidRPr="001E6D7B">
        <w:t xml:space="preserve">-size of five, the performance of one student represents 20% of the unweighted achievement score, but with an </w:t>
      </w:r>
      <w:r w:rsidRPr="001E6D7B">
        <w:rPr>
          <w:i/>
        </w:rPr>
        <w:t>n</w:t>
      </w:r>
      <w:r w:rsidRPr="001E6D7B">
        <w:t xml:space="preserve">-size of 10, the performance of one student is reduced to 10% of the unweighted achievement score. Data were also reviewed comparing the performance rankings of schools in mathematics and in reading for the years of 2011-2012 through 2013-2014 based on minimum </w:t>
      </w:r>
      <w:r w:rsidRPr="001E6D7B">
        <w:rPr>
          <w:i/>
        </w:rPr>
        <w:t>n</w:t>
      </w:r>
      <w:r w:rsidRPr="001E6D7B">
        <w:t xml:space="preserve">-sizes of one and 15. These data clearly showed that the larger the </w:t>
      </w:r>
      <w:r w:rsidRPr="001E6D7B">
        <w:rPr>
          <w:i/>
        </w:rPr>
        <w:t>n-</w:t>
      </w:r>
      <w:r w:rsidRPr="001E6D7B">
        <w:t>size, the less variance in the school’s performance ranking and the greater the stability of the data.</w:t>
      </w:r>
    </w:p>
    <w:p w14:paraId="5E951789" w14:textId="02D0698F" w:rsidR="001F2D1F" w:rsidRDefault="001009C8" w:rsidP="009E15A8">
      <w:pPr>
        <w:ind w:left="720"/>
      </w:pPr>
      <w:r w:rsidRPr="001E6D7B">
        <w:t xml:space="preserve">The following chart shows the comparison of the percentage of schools that would be included using a minimum </w:t>
      </w:r>
      <w:r w:rsidRPr="001E6D7B">
        <w:rPr>
          <w:i/>
        </w:rPr>
        <w:t>n-</w:t>
      </w:r>
      <w:r w:rsidRPr="001E6D7B">
        <w:t xml:space="preserve">size of five in each year and using a minimum </w:t>
      </w:r>
      <w:r w:rsidRPr="001E6D7B">
        <w:rPr>
          <w:i/>
        </w:rPr>
        <w:t>n-</w:t>
      </w:r>
      <w:r w:rsidRPr="001E6D7B">
        <w:t xml:space="preserve">size of 10 aggregated over three years. As the data shows, while the percentages are similar using the two options, in all cases the percentage of schools included for accountability is greater if using a minimum </w:t>
      </w:r>
      <w:r w:rsidRPr="001E6D7B">
        <w:rPr>
          <w:i/>
        </w:rPr>
        <w:t>n-</w:t>
      </w:r>
      <w:r w:rsidRPr="001E6D7B">
        <w:t>size of 10 with three years of aggregated data.</w:t>
      </w:r>
    </w:p>
    <w:p w14:paraId="106E44C8" w14:textId="77777777" w:rsidR="001F2D1F" w:rsidRDefault="001F2D1F">
      <w:pPr>
        <w:rPr>
          <w:rFonts w:ascii="Calibri" w:hAnsi="Calibri"/>
        </w:rPr>
      </w:pPr>
      <w:r>
        <w:rPr>
          <w:rFonts w:ascii="Calibri" w:hAnsi="Calibri"/>
        </w:rPr>
        <w:br w:type="page"/>
      </w:r>
    </w:p>
    <w:p w14:paraId="3FE7E02F" w14:textId="495DB0C3" w:rsidR="001009C8" w:rsidRPr="001E6D7B" w:rsidRDefault="001009C8" w:rsidP="001F2D1F">
      <w:pPr>
        <w:ind w:firstLine="720"/>
        <w:rPr>
          <w:rFonts w:ascii="Calibri" w:hAnsi="Calibri"/>
        </w:rPr>
      </w:pPr>
      <w:r w:rsidRPr="001E6D7B">
        <w:rPr>
          <w:rStyle w:val="BookTitle"/>
          <w:smallCaps w:val="0"/>
        </w:rPr>
        <w:lastRenderedPageBreak/>
        <w:t xml:space="preserve">Percentage of Schools Represented with Given Years and Minimum </w:t>
      </w:r>
      <w:r w:rsidRPr="001E6D7B">
        <w:rPr>
          <w:rStyle w:val="BookTitle"/>
          <w:i/>
          <w:smallCaps w:val="0"/>
        </w:rPr>
        <w:t>n</w:t>
      </w:r>
      <w:r w:rsidRPr="001E6D7B">
        <w:rPr>
          <w:rStyle w:val="BookTitle"/>
          <w:smallCaps w:val="0"/>
        </w:rPr>
        <w:t xml:space="preserve"> Sizes</w:t>
      </w:r>
    </w:p>
    <w:tbl>
      <w:tblPr>
        <w:tblStyle w:val="GridTable2"/>
        <w:tblW w:w="8925" w:type="dxa"/>
        <w:tblInd w:w="705" w:type="dxa"/>
        <w:tblLook w:val="06A0" w:firstRow="1" w:lastRow="0" w:firstColumn="1" w:lastColumn="0" w:noHBand="1" w:noVBand="1"/>
        <w:tblCaption w:val="Percentage of Schools Represented with varying n size"/>
        <w:tblDescription w:val="Table showing the % of schools represented in accountability system with varying n-sizes and multiple years of data"/>
      </w:tblPr>
      <w:tblGrid>
        <w:gridCol w:w="4065"/>
        <w:gridCol w:w="2520"/>
        <w:gridCol w:w="2340"/>
      </w:tblGrid>
      <w:tr w:rsidR="001009C8" w:rsidRPr="001E6D7B" w14:paraId="7244A24C" w14:textId="77777777" w:rsidTr="00767426">
        <w:trPr>
          <w:cnfStyle w:val="100000000000" w:firstRow="1" w:lastRow="0" w:firstColumn="0" w:lastColumn="0" w:oddVBand="0" w:evenVBand="0" w:oddHBand="0" w:evenHBand="0" w:firstRowFirstColumn="0" w:firstRowLastColumn="0" w:lastRowFirstColumn="0" w:lastRowLastColumn="0"/>
          <w:trHeight w:val="762"/>
          <w:tblHeader/>
        </w:trPr>
        <w:tc>
          <w:tcPr>
            <w:cnfStyle w:val="001000000000" w:firstRow="0" w:lastRow="0" w:firstColumn="1" w:lastColumn="0" w:oddVBand="0" w:evenVBand="0" w:oddHBand="0" w:evenHBand="0" w:firstRowFirstColumn="0" w:firstRowLastColumn="0" w:lastRowFirstColumn="0" w:lastRowLastColumn="0"/>
            <w:tcW w:w="4065" w:type="dxa"/>
            <w:vAlign w:val="bottom"/>
          </w:tcPr>
          <w:p w14:paraId="10FB4DED" w14:textId="643F095B" w:rsidR="001009C8" w:rsidRPr="001E6D7B" w:rsidRDefault="00C23980" w:rsidP="00767426">
            <w:pPr>
              <w:pStyle w:val="ListParagraph"/>
              <w:ind w:left="0"/>
              <w:rPr>
                <w:rStyle w:val="BookTitle"/>
                <w:b/>
                <w:bCs/>
                <w:smallCaps w:val="0"/>
              </w:rPr>
            </w:pPr>
            <w:r>
              <w:rPr>
                <w:rStyle w:val="BookTitle"/>
                <w:b/>
                <w:bCs/>
                <w:smallCaps w:val="0"/>
              </w:rPr>
              <w:t>Student Groups</w:t>
            </w:r>
          </w:p>
        </w:tc>
        <w:tc>
          <w:tcPr>
            <w:tcW w:w="2520" w:type="dxa"/>
            <w:vAlign w:val="bottom"/>
          </w:tcPr>
          <w:p w14:paraId="13E93EF6" w14:textId="77777777" w:rsidR="001009C8" w:rsidRPr="001E6D7B" w:rsidRDefault="001009C8" w:rsidP="00767426">
            <w:pPr>
              <w:pStyle w:val="ListParagraph"/>
              <w:ind w:left="0"/>
              <w:cnfStyle w:val="100000000000" w:firstRow="1" w:lastRow="0" w:firstColumn="0" w:lastColumn="0" w:oddVBand="0" w:evenVBand="0" w:oddHBand="0" w:evenHBand="0" w:firstRowFirstColumn="0" w:firstRowLastColumn="0" w:lastRowFirstColumn="0" w:lastRowLastColumn="0"/>
              <w:rPr>
                <w:rStyle w:val="BookTitle"/>
                <w:b/>
                <w:bCs/>
                <w:smallCaps w:val="0"/>
              </w:rPr>
            </w:pPr>
            <w:r w:rsidRPr="001E6D7B">
              <w:rPr>
                <w:rStyle w:val="BookTitle"/>
                <w:b/>
                <w:bCs/>
                <w:smallCaps w:val="0"/>
              </w:rPr>
              <w:t xml:space="preserve">Percentage of schools represented using one year of data and minimum </w:t>
            </w:r>
            <w:r w:rsidRPr="001E6D7B">
              <w:rPr>
                <w:rStyle w:val="BookTitle"/>
                <w:b/>
                <w:bCs/>
                <w:i/>
                <w:smallCaps w:val="0"/>
              </w:rPr>
              <w:t>n</w:t>
            </w:r>
            <w:r w:rsidRPr="001E6D7B">
              <w:rPr>
                <w:rStyle w:val="BookTitle"/>
                <w:b/>
                <w:bCs/>
                <w:smallCaps w:val="0"/>
              </w:rPr>
              <w:t xml:space="preserve"> = 5</w:t>
            </w:r>
          </w:p>
        </w:tc>
        <w:tc>
          <w:tcPr>
            <w:tcW w:w="2340" w:type="dxa"/>
            <w:vAlign w:val="bottom"/>
          </w:tcPr>
          <w:p w14:paraId="7621303E" w14:textId="77777777" w:rsidR="001009C8" w:rsidRPr="001E6D7B" w:rsidRDefault="001009C8" w:rsidP="00767426">
            <w:pPr>
              <w:pStyle w:val="ListParagraph"/>
              <w:ind w:left="0"/>
              <w:cnfStyle w:val="100000000000" w:firstRow="1" w:lastRow="0" w:firstColumn="0" w:lastColumn="0" w:oddVBand="0" w:evenVBand="0" w:oddHBand="0" w:evenHBand="0" w:firstRowFirstColumn="0" w:firstRowLastColumn="0" w:lastRowFirstColumn="0" w:lastRowLastColumn="0"/>
              <w:rPr>
                <w:rStyle w:val="BookTitle"/>
                <w:b/>
                <w:bCs/>
                <w:smallCaps w:val="0"/>
              </w:rPr>
            </w:pPr>
            <w:r w:rsidRPr="001E6D7B">
              <w:rPr>
                <w:rStyle w:val="BookTitle"/>
                <w:b/>
                <w:bCs/>
                <w:smallCaps w:val="0"/>
              </w:rPr>
              <w:t xml:space="preserve">Percentage of schools represented using 3 years of data and minimum </w:t>
            </w:r>
            <w:r w:rsidRPr="001E6D7B">
              <w:rPr>
                <w:rStyle w:val="BookTitle"/>
                <w:b/>
                <w:bCs/>
                <w:i/>
                <w:smallCaps w:val="0"/>
              </w:rPr>
              <w:t>n</w:t>
            </w:r>
            <w:r w:rsidRPr="001E6D7B">
              <w:rPr>
                <w:rStyle w:val="BookTitle"/>
                <w:b/>
                <w:bCs/>
                <w:smallCaps w:val="0"/>
              </w:rPr>
              <w:t xml:space="preserve"> = 10</w:t>
            </w:r>
          </w:p>
        </w:tc>
      </w:tr>
      <w:tr w:rsidR="001009C8" w:rsidRPr="001E6D7B" w14:paraId="36920E5A" w14:textId="77777777" w:rsidTr="00767426">
        <w:trPr>
          <w:trHeight w:val="190"/>
        </w:trPr>
        <w:tc>
          <w:tcPr>
            <w:cnfStyle w:val="001000000000" w:firstRow="0" w:lastRow="0" w:firstColumn="1" w:lastColumn="0" w:oddVBand="0" w:evenVBand="0" w:oddHBand="0" w:evenHBand="0" w:firstRowFirstColumn="0" w:firstRowLastColumn="0" w:lastRowFirstColumn="0" w:lastRowLastColumn="0"/>
            <w:tcW w:w="4065" w:type="dxa"/>
            <w:tcBorders>
              <w:right w:val="nil"/>
            </w:tcBorders>
          </w:tcPr>
          <w:p w14:paraId="4E132D7A" w14:textId="77777777" w:rsidR="001009C8" w:rsidRPr="001E6D7B" w:rsidRDefault="001009C8" w:rsidP="00695603">
            <w:pPr>
              <w:pStyle w:val="ListParagraph"/>
              <w:ind w:left="0"/>
              <w:rPr>
                <w:rStyle w:val="BookTitle"/>
                <w:b/>
                <w:bCs/>
                <w:smallCaps w:val="0"/>
              </w:rPr>
            </w:pPr>
            <w:r w:rsidRPr="001E6D7B">
              <w:rPr>
                <w:rStyle w:val="BookTitle"/>
                <w:smallCaps w:val="0"/>
              </w:rPr>
              <w:t>All Students</w:t>
            </w:r>
          </w:p>
        </w:tc>
        <w:tc>
          <w:tcPr>
            <w:tcW w:w="2520" w:type="dxa"/>
            <w:tcBorders>
              <w:left w:val="nil"/>
              <w:right w:val="nil"/>
            </w:tcBorders>
          </w:tcPr>
          <w:p w14:paraId="50C48280"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94.3</w:t>
            </w:r>
          </w:p>
        </w:tc>
        <w:tc>
          <w:tcPr>
            <w:tcW w:w="2340" w:type="dxa"/>
            <w:tcBorders>
              <w:left w:val="nil"/>
            </w:tcBorders>
          </w:tcPr>
          <w:p w14:paraId="1DCF58E5"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95.0</w:t>
            </w:r>
          </w:p>
        </w:tc>
      </w:tr>
      <w:tr w:rsidR="001009C8" w:rsidRPr="001E6D7B" w14:paraId="7952EE62" w14:textId="77777777" w:rsidTr="00767426">
        <w:trPr>
          <w:trHeight w:val="190"/>
        </w:trPr>
        <w:tc>
          <w:tcPr>
            <w:cnfStyle w:val="001000000000" w:firstRow="0" w:lastRow="0" w:firstColumn="1" w:lastColumn="0" w:oddVBand="0" w:evenVBand="0" w:oddHBand="0" w:evenHBand="0" w:firstRowFirstColumn="0" w:firstRowLastColumn="0" w:lastRowFirstColumn="0" w:lastRowLastColumn="0"/>
            <w:tcW w:w="4065" w:type="dxa"/>
            <w:tcBorders>
              <w:right w:val="nil"/>
            </w:tcBorders>
          </w:tcPr>
          <w:p w14:paraId="1C3D5F46" w14:textId="77777777" w:rsidR="001009C8" w:rsidRPr="001E6D7B" w:rsidRDefault="001009C8" w:rsidP="00695603">
            <w:pPr>
              <w:pStyle w:val="ListParagraph"/>
              <w:ind w:left="0"/>
              <w:rPr>
                <w:rStyle w:val="BookTitle"/>
                <w:b/>
                <w:bCs/>
                <w:smallCaps w:val="0"/>
              </w:rPr>
            </w:pPr>
            <w:r w:rsidRPr="001E6D7B">
              <w:rPr>
                <w:rStyle w:val="BookTitle"/>
                <w:smallCaps w:val="0"/>
              </w:rPr>
              <w:t>Alaska Native/Amer. Indian</w:t>
            </w:r>
          </w:p>
        </w:tc>
        <w:tc>
          <w:tcPr>
            <w:tcW w:w="2520" w:type="dxa"/>
            <w:tcBorders>
              <w:left w:val="nil"/>
              <w:right w:val="nil"/>
            </w:tcBorders>
          </w:tcPr>
          <w:p w14:paraId="797CCC54"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81.9</w:t>
            </w:r>
          </w:p>
        </w:tc>
        <w:tc>
          <w:tcPr>
            <w:tcW w:w="2340" w:type="dxa"/>
            <w:tcBorders>
              <w:left w:val="nil"/>
            </w:tcBorders>
          </w:tcPr>
          <w:p w14:paraId="43B7B2CB"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86.2</w:t>
            </w:r>
          </w:p>
        </w:tc>
      </w:tr>
      <w:tr w:rsidR="001009C8" w:rsidRPr="001E6D7B" w14:paraId="4BB17FE8" w14:textId="77777777" w:rsidTr="00767426">
        <w:trPr>
          <w:trHeight w:val="190"/>
        </w:trPr>
        <w:tc>
          <w:tcPr>
            <w:cnfStyle w:val="001000000000" w:firstRow="0" w:lastRow="0" w:firstColumn="1" w:lastColumn="0" w:oddVBand="0" w:evenVBand="0" w:oddHBand="0" w:evenHBand="0" w:firstRowFirstColumn="0" w:firstRowLastColumn="0" w:lastRowFirstColumn="0" w:lastRowLastColumn="0"/>
            <w:tcW w:w="4065" w:type="dxa"/>
            <w:tcBorders>
              <w:right w:val="nil"/>
            </w:tcBorders>
          </w:tcPr>
          <w:p w14:paraId="7D90213B" w14:textId="77777777" w:rsidR="001009C8" w:rsidRPr="001E6D7B" w:rsidRDefault="001009C8" w:rsidP="00695603">
            <w:pPr>
              <w:pStyle w:val="ListParagraph"/>
              <w:ind w:left="0"/>
              <w:rPr>
                <w:rStyle w:val="BookTitle"/>
                <w:b/>
                <w:bCs/>
                <w:smallCaps w:val="0"/>
              </w:rPr>
            </w:pPr>
            <w:r w:rsidRPr="001E6D7B">
              <w:rPr>
                <w:rStyle w:val="BookTitle"/>
                <w:smallCaps w:val="0"/>
              </w:rPr>
              <w:t xml:space="preserve">Economically Disadvantaged </w:t>
            </w:r>
          </w:p>
        </w:tc>
        <w:tc>
          <w:tcPr>
            <w:tcW w:w="2520" w:type="dxa"/>
            <w:tcBorders>
              <w:left w:val="nil"/>
              <w:right w:val="nil"/>
            </w:tcBorders>
          </w:tcPr>
          <w:p w14:paraId="1D57C98D"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91.1</w:t>
            </w:r>
          </w:p>
        </w:tc>
        <w:tc>
          <w:tcPr>
            <w:tcW w:w="2340" w:type="dxa"/>
            <w:tcBorders>
              <w:left w:val="nil"/>
            </w:tcBorders>
          </w:tcPr>
          <w:p w14:paraId="4BDBD61A"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93.5</w:t>
            </w:r>
          </w:p>
        </w:tc>
      </w:tr>
      <w:tr w:rsidR="001009C8" w:rsidRPr="001E6D7B" w14:paraId="63416835" w14:textId="77777777" w:rsidTr="00767426">
        <w:trPr>
          <w:trHeight w:val="190"/>
        </w:trPr>
        <w:tc>
          <w:tcPr>
            <w:cnfStyle w:val="001000000000" w:firstRow="0" w:lastRow="0" w:firstColumn="1" w:lastColumn="0" w:oddVBand="0" w:evenVBand="0" w:oddHBand="0" w:evenHBand="0" w:firstRowFirstColumn="0" w:firstRowLastColumn="0" w:lastRowFirstColumn="0" w:lastRowLastColumn="0"/>
            <w:tcW w:w="4065" w:type="dxa"/>
            <w:tcBorders>
              <w:right w:val="nil"/>
            </w:tcBorders>
          </w:tcPr>
          <w:p w14:paraId="7384C6AA" w14:textId="77777777" w:rsidR="001009C8" w:rsidRPr="001E6D7B" w:rsidRDefault="001009C8" w:rsidP="00695603">
            <w:pPr>
              <w:pStyle w:val="ListParagraph"/>
              <w:ind w:left="0"/>
              <w:rPr>
                <w:rStyle w:val="BookTitle"/>
                <w:b/>
                <w:bCs/>
                <w:smallCaps w:val="0"/>
              </w:rPr>
            </w:pPr>
            <w:r w:rsidRPr="001E6D7B">
              <w:rPr>
                <w:rStyle w:val="BookTitle"/>
                <w:smallCaps w:val="0"/>
              </w:rPr>
              <w:t xml:space="preserve">English Learners </w:t>
            </w:r>
          </w:p>
        </w:tc>
        <w:tc>
          <w:tcPr>
            <w:tcW w:w="2520" w:type="dxa"/>
            <w:tcBorders>
              <w:left w:val="nil"/>
              <w:right w:val="nil"/>
            </w:tcBorders>
          </w:tcPr>
          <w:p w14:paraId="47C64A5D"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74.9</w:t>
            </w:r>
          </w:p>
        </w:tc>
        <w:tc>
          <w:tcPr>
            <w:tcW w:w="2340" w:type="dxa"/>
            <w:tcBorders>
              <w:left w:val="nil"/>
            </w:tcBorders>
          </w:tcPr>
          <w:p w14:paraId="1D1FAD20"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75.3</w:t>
            </w:r>
          </w:p>
        </w:tc>
      </w:tr>
      <w:tr w:rsidR="001009C8" w:rsidRPr="001E6D7B" w14:paraId="04749243" w14:textId="77777777" w:rsidTr="00767426">
        <w:trPr>
          <w:trHeight w:val="221"/>
        </w:trPr>
        <w:tc>
          <w:tcPr>
            <w:cnfStyle w:val="001000000000" w:firstRow="0" w:lastRow="0" w:firstColumn="1" w:lastColumn="0" w:oddVBand="0" w:evenVBand="0" w:oddHBand="0" w:evenHBand="0" w:firstRowFirstColumn="0" w:firstRowLastColumn="0" w:lastRowFirstColumn="0" w:lastRowLastColumn="0"/>
            <w:tcW w:w="4065" w:type="dxa"/>
            <w:tcBorders>
              <w:right w:val="nil"/>
            </w:tcBorders>
          </w:tcPr>
          <w:p w14:paraId="5F47B34F" w14:textId="77777777" w:rsidR="001009C8" w:rsidRPr="001E6D7B" w:rsidRDefault="001009C8" w:rsidP="00695603">
            <w:pPr>
              <w:pStyle w:val="ListParagraph"/>
              <w:ind w:left="0"/>
              <w:rPr>
                <w:rStyle w:val="BookTitle"/>
                <w:b/>
                <w:bCs/>
                <w:smallCaps w:val="0"/>
              </w:rPr>
            </w:pPr>
            <w:r w:rsidRPr="001E6D7B">
              <w:rPr>
                <w:rStyle w:val="BookTitle"/>
                <w:smallCaps w:val="0"/>
              </w:rPr>
              <w:t xml:space="preserve">Students with Disabilities </w:t>
            </w:r>
          </w:p>
        </w:tc>
        <w:tc>
          <w:tcPr>
            <w:tcW w:w="2520" w:type="dxa"/>
            <w:tcBorders>
              <w:left w:val="nil"/>
              <w:right w:val="nil"/>
            </w:tcBorders>
          </w:tcPr>
          <w:p w14:paraId="5CB6D9C7"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76.0</w:t>
            </w:r>
          </w:p>
        </w:tc>
        <w:tc>
          <w:tcPr>
            <w:tcW w:w="2340" w:type="dxa"/>
            <w:tcBorders>
              <w:left w:val="nil"/>
            </w:tcBorders>
          </w:tcPr>
          <w:p w14:paraId="6DCD9FB3" w14:textId="77777777" w:rsidR="001009C8" w:rsidRPr="001E6D7B" w:rsidRDefault="001009C8" w:rsidP="00695603">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BookTitle"/>
                <w:b w:val="0"/>
                <w:bCs w:val="0"/>
                <w:smallCaps w:val="0"/>
              </w:rPr>
            </w:pPr>
            <w:r w:rsidRPr="001E6D7B">
              <w:rPr>
                <w:rStyle w:val="BookTitle"/>
                <w:b w:val="0"/>
                <w:bCs w:val="0"/>
                <w:smallCaps w:val="0"/>
              </w:rPr>
              <w:t>78.9</w:t>
            </w:r>
          </w:p>
        </w:tc>
      </w:tr>
    </w:tbl>
    <w:p w14:paraId="18B4C36E" w14:textId="77777777" w:rsidR="001009C8" w:rsidRDefault="001009C8" w:rsidP="009E15A8"/>
    <w:p w14:paraId="1C8B1692" w14:textId="13F072E1" w:rsidR="001009C8" w:rsidRDefault="001009C8" w:rsidP="00462285">
      <w:r w:rsidRPr="00333FA2">
        <w:t xml:space="preserve">DEED’s original intention was to transition to aggregating up to three years of data (data from the previous two years plus data from the current year) for any indicator when the minimum </w:t>
      </w:r>
      <w:r w:rsidRPr="00E15DF6">
        <w:rPr>
          <w:i/>
        </w:rPr>
        <w:t>n</w:t>
      </w:r>
      <w:r w:rsidRPr="00333FA2">
        <w:t xml:space="preserve"> is not achieved. This approach would have resulted in a significant number of schools not meeting the minimum </w:t>
      </w:r>
      <w:r w:rsidRPr="00E15DF6">
        <w:rPr>
          <w:i/>
        </w:rPr>
        <w:t>n</w:t>
      </w:r>
      <w:r w:rsidRPr="00333FA2">
        <w:t xml:space="preserve"> in any of the academic indicators. In order to include all public schools in the system of annual meaningful differentiation, Alaska will instead aggregate up to three years of available data when calculating index scores and determining designations for the 2018-2019 school year in the fall of 2018.</w:t>
      </w:r>
    </w:p>
    <w:p w14:paraId="64C06FD4" w14:textId="6948B2CF" w:rsidR="001009C8" w:rsidRPr="005428E5" w:rsidRDefault="001009C8" w:rsidP="006641B6">
      <w:pPr>
        <w:pStyle w:val="ListParagraph"/>
        <w:numPr>
          <w:ilvl w:val="0"/>
          <w:numId w:val="89"/>
        </w:numPr>
        <w:ind w:left="1440"/>
      </w:pPr>
      <w:r w:rsidRPr="005428E5">
        <w:t>Describe how the minimum number of students was determined by the State, including how the State collaborated with teachers, principals, other school leaders, parents, and other stakeholders when determining such minimum number.</w:t>
      </w:r>
    </w:p>
    <w:p w14:paraId="32C36EC4" w14:textId="77777777" w:rsidR="001009C8" w:rsidRDefault="001009C8" w:rsidP="00462285">
      <w:pPr>
        <w:rPr>
          <w:rFonts w:ascii="Calibri" w:hAnsi="Calibri"/>
        </w:rPr>
      </w:pPr>
      <w:r>
        <w:rPr>
          <w:rFonts w:ascii="Calibri" w:hAnsi="Calibri"/>
        </w:rPr>
        <w:t>DEED gathered s</w:t>
      </w:r>
      <w:r w:rsidRPr="00995998">
        <w:rPr>
          <w:rFonts w:ascii="Calibri" w:hAnsi="Calibri"/>
        </w:rPr>
        <w:t xml:space="preserve">pecific stakeholder input </w:t>
      </w:r>
      <w:r>
        <w:rPr>
          <w:rFonts w:ascii="Calibri" w:hAnsi="Calibri"/>
        </w:rPr>
        <w:t>at</w:t>
      </w:r>
      <w:r w:rsidRPr="00995998">
        <w:rPr>
          <w:rFonts w:ascii="Calibri" w:hAnsi="Calibri"/>
        </w:rPr>
        <w:t xml:space="preserve"> the </w:t>
      </w:r>
      <w:r>
        <w:rPr>
          <w:rFonts w:ascii="Calibri" w:hAnsi="Calibri"/>
        </w:rPr>
        <w:t>Alaska P</w:t>
      </w:r>
      <w:r w:rsidRPr="00995998">
        <w:rPr>
          <w:rFonts w:ascii="Calibri" w:hAnsi="Calibri"/>
        </w:rPr>
        <w:t xml:space="preserve">rincipals’ </w:t>
      </w:r>
      <w:r>
        <w:rPr>
          <w:rFonts w:ascii="Calibri" w:hAnsi="Calibri"/>
        </w:rPr>
        <w:t>P</w:t>
      </w:r>
      <w:r w:rsidRPr="00995998">
        <w:rPr>
          <w:rFonts w:ascii="Calibri" w:hAnsi="Calibri"/>
        </w:rPr>
        <w:t>re-</w:t>
      </w:r>
      <w:r>
        <w:rPr>
          <w:rFonts w:ascii="Calibri" w:hAnsi="Calibri"/>
        </w:rPr>
        <w:t>C</w:t>
      </w:r>
      <w:r w:rsidRPr="00995998">
        <w:rPr>
          <w:rFonts w:ascii="Calibri" w:hAnsi="Calibri"/>
        </w:rPr>
        <w:t xml:space="preserve">onference and from the </w:t>
      </w:r>
      <w:r w:rsidRPr="00375A8D">
        <w:rPr>
          <w:rFonts w:ascii="Calibri" w:hAnsi="Calibri"/>
        </w:rPr>
        <w:t>Alaska ESSA State Plan Advisory Committee</w:t>
      </w:r>
      <w:r>
        <w:rPr>
          <w:rFonts w:ascii="Calibri" w:hAnsi="Calibri"/>
        </w:rPr>
        <w:t>. The Advisory Committee members included teachers, principals, other school leaders, and parents</w:t>
      </w:r>
      <w:r w:rsidRPr="00995998">
        <w:rPr>
          <w:rFonts w:ascii="Calibri" w:hAnsi="Calibri"/>
        </w:rPr>
        <w:t xml:space="preserve">. General feedback was received from the public on the first draft of the state plan. Many responses were in the range of an </w:t>
      </w:r>
      <w:r w:rsidRPr="00995998">
        <w:rPr>
          <w:rFonts w:ascii="Calibri" w:hAnsi="Calibri"/>
          <w:i/>
        </w:rPr>
        <w:t>n</w:t>
      </w:r>
      <w:r w:rsidRPr="00995998">
        <w:rPr>
          <w:rFonts w:ascii="Calibri" w:hAnsi="Calibri"/>
        </w:rPr>
        <w:t xml:space="preserve">-size of </w:t>
      </w:r>
      <w:r>
        <w:rPr>
          <w:rFonts w:ascii="Calibri" w:hAnsi="Calibri"/>
        </w:rPr>
        <w:t>five</w:t>
      </w:r>
      <w:r w:rsidRPr="00995998">
        <w:rPr>
          <w:rFonts w:ascii="Calibri" w:hAnsi="Calibri"/>
        </w:rPr>
        <w:t xml:space="preserve"> or somewhere between </w:t>
      </w:r>
      <w:r>
        <w:rPr>
          <w:rFonts w:ascii="Calibri" w:hAnsi="Calibri"/>
        </w:rPr>
        <w:t>five and 10</w:t>
      </w:r>
      <w:r w:rsidRPr="00995998">
        <w:rPr>
          <w:rFonts w:ascii="Calibri" w:hAnsi="Calibri"/>
        </w:rPr>
        <w:t xml:space="preserve">, with rationale being that Alaska should hold the most schools accountable. Others were on the higher end of </w:t>
      </w:r>
      <w:r>
        <w:rPr>
          <w:rFonts w:ascii="Calibri" w:hAnsi="Calibri"/>
        </w:rPr>
        <w:t>10</w:t>
      </w:r>
      <w:r w:rsidRPr="00995998">
        <w:rPr>
          <w:rFonts w:ascii="Calibri" w:hAnsi="Calibri"/>
        </w:rPr>
        <w:t xml:space="preserve"> or 20, with the rationale that there can be greater variability in smaller subgroups. Stakeholders indicated a preference for aggregating data over </w:t>
      </w:r>
      <w:r>
        <w:rPr>
          <w:rFonts w:ascii="Calibri" w:hAnsi="Calibri"/>
        </w:rPr>
        <w:t>three</w:t>
      </w:r>
      <w:r w:rsidRPr="00995998">
        <w:rPr>
          <w:rFonts w:ascii="Calibri" w:hAnsi="Calibri"/>
        </w:rPr>
        <w:t xml:space="preserve"> years </w:t>
      </w:r>
      <w:r>
        <w:rPr>
          <w:rFonts w:ascii="Calibri" w:hAnsi="Calibri"/>
        </w:rPr>
        <w:t xml:space="preserve">when the minimum </w:t>
      </w:r>
      <w:r w:rsidRPr="007B6591">
        <w:rPr>
          <w:rFonts w:ascii="Calibri" w:hAnsi="Calibri"/>
          <w:i/>
        </w:rPr>
        <w:t>n</w:t>
      </w:r>
      <w:r>
        <w:rPr>
          <w:rFonts w:ascii="Calibri" w:hAnsi="Calibri"/>
        </w:rPr>
        <w:t xml:space="preserve"> is not met </w:t>
      </w:r>
      <w:r w:rsidRPr="00995998">
        <w:rPr>
          <w:rFonts w:ascii="Calibri" w:hAnsi="Calibri"/>
        </w:rPr>
        <w:t>to include more schools and subgroups.</w:t>
      </w:r>
      <w:r>
        <w:rPr>
          <w:rFonts w:ascii="Calibri" w:hAnsi="Calibri"/>
        </w:rPr>
        <w:t xml:space="preserve"> </w:t>
      </w:r>
      <w:r w:rsidRPr="00333FA2">
        <w:rPr>
          <w:rFonts w:ascii="Calibri" w:hAnsi="Calibri"/>
        </w:rPr>
        <w:t>As described in the previous section, Alaska will aggregate up to three years of available data when calculating index scores and determining designations for the 2018-2019 school year in the fall of 2018.</w:t>
      </w:r>
    </w:p>
    <w:p w14:paraId="66A93810" w14:textId="1962DD13" w:rsidR="005428E5" w:rsidRPr="00484B15" w:rsidRDefault="005428E5" w:rsidP="006641B6">
      <w:pPr>
        <w:pStyle w:val="ListParagraph"/>
        <w:numPr>
          <w:ilvl w:val="0"/>
          <w:numId w:val="89"/>
        </w:numPr>
        <w:ind w:left="1440"/>
      </w:pPr>
      <w:r w:rsidRPr="00484B15">
        <w:t xml:space="preserve">Describe how the State ensures that the minimum number is sufficient to not reveal any personally identifiable information. </w:t>
      </w:r>
    </w:p>
    <w:p w14:paraId="1D4BA03A" w14:textId="06A22A93" w:rsidR="00484B15" w:rsidRDefault="005428E5" w:rsidP="00462285">
      <w:r w:rsidRPr="00484B15">
        <w:t>(Consistent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Educational Rights and Privacy Act of 1974”). When selecting a minimum n-size for reporting, States should consult the Institute for Education Sciences report “Best</w:t>
      </w:r>
      <w:r w:rsidR="00462285">
        <w:t xml:space="preserve"> </w:t>
      </w:r>
      <w:r w:rsidRPr="00484B15">
        <w:t>Practices for Determining Subgroup Size in Accountability Systems While Protecting Personally Identifiable Student Information” to identify appropriate statistical disclosure limitation strategies for protecting student privacy.</w:t>
      </w:r>
    </w:p>
    <w:p w14:paraId="191DE945" w14:textId="4FABD6C5" w:rsidR="00484B15" w:rsidRDefault="00484B15" w:rsidP="00462285">
      <w:r>
        <w:lastRenderedPageBreak/>
        <w:t>DEED</w:t>
      </w:r>
      <w:r w:rsidRPr="00015D3D">
        <w:t xml:space="preserve"> employs suppression rules in public reporting to protect student privacy. These rules are based on an </w:t>
      </w:r>
      <w:r w:rsidRPr="00015D3D">
        <w:rPr>
          <w:i/>
        </w:rPr>
        <w:t>n</w:t>
      </w:r>
      <w:r w:rsidRPr="00015D3D">
        <w:t xml:space="preserve">-size of </w:t>
      </w:r>
      <w:r>
        <w:t>five</w:t>
      </w:r>
      <w:r w:rsidRPr="00015D3D">
        <w:t xml:space="preserve"> whether there are two or four reporting categories. The suppression rules are most often applied to assessment results to prevent the linkage of a particular performance level to a specific student. These rules also serve as a starting point when there is a need to suppress non-assessment datasets, including special education child counts and discipline statistics. DEED consults with the </w:t>
      </w:r>
      <w:r>
        <w:t>U.S. Department of Education’s</w:t>
      </w:r>
      <w:r w:rsidRPr="00015D3D">
        <w:t xml:space="preserve"> Privacy Technical Assistance Center when unique suppression-related challenges emerge.</w:t>
      </w:r>
    </w:p>
    <w:p w14:paraId="045A63B4" w14:textId="6382C038" w:rsidR="00484B15" w:rsidRPr="00015D3D" w:rsidRDefault="00484B15" w:rsidP="00462285">
      <w:r w:rsidRPr="00015D3D">
        <w:t>DEED uses a multi-step approach to data suppression that considers both the count of students and the distribution of students among the reporting categories. DEED's two-way suppression rules specifically for assessment reporting are:</w:t>
      </w:r>
    </w:p>
    <w:p w14:paraId="17616C1F" w14:textId="77777777" w:rsidR="009E15A8" w:rsidRDefault="00484B15" w:rsidP="006641B6">
      <w:pPr>
        <w:numPr>
          <w:ilvl w:val="0"/>
          <w:numId w:val="41"/>
        </w:numPr>
        <w:spacing w:after="0"/>
        <w:ind w:left="1980"/>
        <w:rPr>
          <w:rFonts w:ascii="Calibri" w:hAnsi="Calibri"/>
        </w:rPr>
      </w:pPr>
      <w:r w:rsidRPr="00015D3D">
        <w:rPr>
          <w:rFonts w:ascii="Calibri" w:hAnsi="Calibri"/>
        </w:rPr>
        <w:t xml:space="preserve">If the count of tested students is less than </w:t>
      </w:r>
      <w:r>
        <w:rPr>
          <w:rFonts w:ascii="Calibri" w:hAnsi="Calibri"/>
        </w:rPr>
        <w:t>five</w:t>
      </w:r>
      <w:r w:rsidRPr="00015D3D">
        <w:rPr>
          <w:rFonts w:ascii="Calibri" w:hAnsi="Calibri"/>
        </w:rPr>
        <w:t>, no results are reported.</w:t>
      </w:r>
    </w:p>
    <w:p w14:paraId="1D757B76" w14:textId="77777777" w:rsidR="009E15A8" w:rsidRDefault="00484B15" w:rsidP="006641B6">
      <w:pPr>
        <w:numPr>
          <w:ilvl w:val="0"/>
          <w:numId w:val="41"/>
        </w:numPr>
        <w:spacing w:after="0"/>
        <w:ind w:left="1980"/>
        <w:rPr>
          <w:rFonts w:ascii="Calibri" w:hAnsi="Calibri"/>
        </w:rPr>
      </w:pPr>
      <w:r w:rsidRPr="009E15A8">
        <w:rPr>
          <w:rFonts w:ascii="Calibri" w:hAnsi="Calibri"/>
        </w:rPr>
        <w:t>If the count of tested students is five or higher, and one of the reporting categories (Proficient or Not Proficient) has zero, one, or two student(s), percentage ranges are reported instead of the actual percentages. Otherwise, the actual percentages are reported.</w:t>
      </w:r>
    </w:p>
    <w:p w14:paraId="045A336F" w14:textId="076DE1A0" w:rsidR="00484B15" w:rsidRPr="009E15A8" w:rsidRDefault="00484B15" w:rsidP="006641B6">
      <w:pPr>
        <w:numPr>
          <w:ilvl w:val="0"/>
          <w:numId w:val="41"/>
        </w:numPr>
        <w:spacing w:after="240"/>
        <w:ind w:left="1980"/>
        <w:rPr>
          <w:rFonts w:ascii="Calibri" w:hAnsi="Calibri"/>
        </w:rPr>
      </w:pPr>
      <w:r w:rsidRPr="009E15A8">
        <w:rPr>
          <w:rFonts w:ascii="Calibri" w:hAnsi="Calibri"/>
        </w:rPr>
        <w:t>If a percentage range needs to be reported, the range depends on the count of tested students:</w:t>
      </w:r>
    </w:p>
    <w:tbl>
      <w:tblPr>
        <w:tblW w:w="6592" w:type="dxa"/>
        <w:jc w:val="center"/>
        <w:tblLook w:val="04A0" w:firstRow="1" w:lastRow="0" w:firstColumn="1" w:lastColumn="0" w:noHBand="0" w:noVBand="1"/>
        <w:tblCaption w:val="Published Percentage Ranged based on number of tested students"/>
        <w:tblDescription w:val="Table showing the percentage range reported by on number of tested students"/>
      </w:tblPr>
      <w:tblGrid>
        <w:gridCol w:w="3019"/>
        <w:gridCol w:w="3573"/>
      </w:tblGrid>
      <w:tr w:rsidR="008A3C74" w:rsidRPr="00015D3D" w14:paraId="3AEFA14D" w14:textId="77777777" w:rsidTr="001F2D1F">
        <w:trPr>
          <w:trHeight w:val="315"/>
          <w:tblHeader/>
          <w:jc w:val="center"/>
        </w:trPr>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F9DA" w14:textId="77777777" w:rsidR="008A3C74" w:rsidRPr="00015D3D" w:rsidRDefault="008A3C74" w:rsidP="00F60809">
            <w:pPr>
              <w:spacing w:after="0" w:line="240" w:lineRule="auto"/>
              <w:jc w:val="center"/>
              <w:rPr>
                <w:rFonts w:ascii="Calibri" w:hAnsi="Calibri"/>
                <w:b/>
              </w:rPr>
            </w:pPr>
            <w:r w:rsidRPr="00015D3D">
              <w:rPr>
                <w:rFonts w:ascii="Calibri" w:hAnsi="Calibri"/>
                <w:b/>
              </w:rPr>
              <w:t>Number of Tested Students</w:t>
            </w:r>
          </w:p>
        </w:tc>
        <w:tc>
          <w:tcPr>
            <w:tcW w:w="3573" w:type="dxa"/>
            <w:tcBorders>
              <w:top w:val="single" w:sz="4" w:space="0" w:color="auto"/>
              <w:left w:val="nil"/>
              <w:bottom w:val="single" w:sz="4" w:space="0" w:color="auto"/>
              <w:right w:val="single" w:sz="4" w:space="0" w:color="auto"/>
            </w:tcBorders>
            <w:shd w:val="clear" w:color="auto" w:fill="auto"/>
            <w:noWrap/>
            <w:vAlign w:val="center"/>
            <w:hideMark/>
          </w:tcPr>
          <w:p w14:paraId="7B7B0EB1" w14:textId="77777777" w:rsidR="008A3C74" w:rsidRPr="00015D3D" w:rsidRDefault="008A3C74" w:rsidP="00F60809">
            <w:pPr>
              <w:spacing w:after="0" w:line="240" w:lineRule="auto"/>
              <w:jc w:val="center"/>
              <w:rPr>
                <w:rFonts w:ascii="Calibri" w:hAnsi="Calibri"/>
                <w:b/>
              </w:rPr>
            </w:pPr>
            <w:r w:rsidRPr="00015D3D">
              <w:rPr>
                <w:rFonts w:ascii="Calibri" w:hAnsi="Calibri"/>
                <w:b/>
              </w:rPr>
              <w:t>Percentage Range Published</w:t>
            </w:r>
          </w:p>
        </w:tc>
      </w:tr>
      <w:tr w:rsidR="008A3C74" w:rsidRPr="00015D3D" w14:paraId="7ACD88FC" w14:textId="77777777" w:rsidTr="001F2D1F">
        <w:trPr>
          <w:trHeight w:val="315"/>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14:paraId="160BCA56" w14:textId="77777777" w:rsidR="008A3C74" w:rsidRPr="00015D3D" w:rsidRDefault="008A3C74" w:rsidP="00F60809">
            <w:pPr>
              <w:spacing w:after="0" w:line="240" w:lineRule="auto"/>
              <w:jc w:val="center"/>
              <w:rPr>
                <w:rFonts w:ascii="Calibri" w:hAnsi="Calibri"/>
              </w:rPr>
            </w:pPr>
            <w:r w:rsidRPr="00015D3D">
              <w:rPr>
                <w:rFonts w:ascii="Calibri" w:hAnsi="Calibri"/>
              </w:rPr>
              <w:t>5-7</w:t>
            </w:r>
          </w:p>
        </w:tc>
        <w:tc>
          <w:tcPr>
            <w:tcW w:w="3573" w:type="dxa"/>
            <w:tcBorders>
              <w:top w:val="nil"/>
              <w:left w:val="nil"/>
              <w:bottom w:val="single" w:sz="4" w:space="0" w:color="auto"/>
              <w:right w:val="single" w:sz="4" w:space="0" w:color="auto"/>
            </w:tcBorders>
            <w:shd w:val="clear" w:color="auto" w:fill="auto"/>
            <w:noWrap/>
            <w:vAlign w:val="center"/>
            <w:hideMark/>
          </w:tcPr>
          <w:p w14:paraId="5D5E0408" w14:textId="77777777" w:rsidR="008A3C74" w:rsidRPr="00015D3D" w:rsidRDefault="008A3C74" w:rsidP="00F60809">
            <w:pPr>
              <w:spacing w:after="0" w:line="240" w:lineRule="auto"/>
              <w:jc w:val="center"/>
              <w:rPr>
                <w:rFonts w:ascii="Calibri" w:hAnsi="Calibri"/>
              </w:rPr>
            </w:pPr>
            <w:r>
              <w:rPr>
                <w:rFonts w:ascii="Calibri" w:hAnsi="Calibri"/>
              </w:rPr>
              <w:t>≥</w:t>
            </w:r>
            <w:r w:rsidRPr="00015D3D">
              <w:rPr>
                <w:rFonts w:ascii="Calibri" w:hAnsi="Calibri"/>
              </w:rPr>
              <w:t xml:space="preserve">60% or </w:t>
            </w:r>
            <w:r>
              <w:rPr>
                <w:rFonts w:ascii="Calibri" w:hAnsi="Calibri"/>
              </w:rPr>
              <w:t>≤</w:t>
            </w:r>
            <w:r w:rsidRPr="00015D3D">
              <w:rPr>
                <w:rFonts w:ascii="Calibri" w:hAnsi="Calibri"/>
              </w:rPr>
              <w:t>40%</w:t>
            </w:r>
          </w:p>
        </w:tc>
      </w:tr>
      <w:tr w:rsidR="008A3C74" w:rsidRPr="00015D3D" w14:paraId="44FD6DA3" w14:textId="77777777" w:rsidTr="001F2D1F">
        <w:trPr>
          <w:trHeight w:val="315"/>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14:paraId="3A0D22D5" w14:textId="77777777" w:rsidR="008A3C74" w:rsidRPr="00015D3D" w:rsidRDefault="008A3C74" w:rsidP="00F60809">
            <w:pPr>
              <w:spacing w:after="0" w:line="240" w:lineRule="auto"/>
              <w:jc w:val="center"/>
              <w:rPr>
                <w:rFonts w:ascii="Calibri" w:hAnsi="Calibri"/>
              </w:rPr>
            </w:pPr>
            <w:r w:rsidRPr="00015D3D">
              <w:rPr>
                <w:rFonts w:ascii="Calibri" w:hAnsi="Calibri"/>
              </w:rPr>
              <w:t>8-9</w:t>
            </w:r>
          </w:p>
        </w:tc>
        <w:tc>
          <w:tcPr>
            <w:tcW w:w="3573" w:type="dxa"/>
            <w:tcBorders>
              <w:top w:val="nil"/>
              <w:left w:val="nil"/>
              <w:bottom w:val="single" w:sz="4" w:space="0" w:color="auto"/>
              <w:right w:val="single" w:sz="4" w:space="0" w:color="auto"/>
            </w:tcBorders>
            <w:shd w:val="clear" w:color="auto" w:fill="auto"/>
            <w:noWrap/>
            <w:vAlign w:val="center"/>
            <w:hideMark/>
          </w:tcPr>
          <w:p w14:paraId="24FE25D0" w14:textId="77777777" w:rsidR="008A3C74" w:rsidRPr="00015D3D" w:rsidRDefault="008A3C74" w:rsidP="00F60809">
            <w:pPr>
              <w:spacing w:after="0" w:line="240" w:lineRule="auto"/>
              <w:jc w:val="center"/>
              <w:rPr>
                <w:rFonts w:ascii="Calibri" w:hAnsi="Calibri"/>
              </w:rPr>
            </w:pPr>
            <w:r>
              <w:rPr>
                <w:rFonts w:ascii="Calibri" w:hAnsi="Calibri"/>
              </w:rPr>
              <w:t>≥</w:t>
            </w:r>
            <w:r w:rsidRPr="00015D3D">
              <w:rPr>
                <w:rFonts w:ascii="Calibri" w:hAnsi="Calibri"/>
              </w:rPr>
              <w:t xml:space="preserve">75% or </w:t>
            </w:r>
            <w:r>
              <w:rPr>
                <w:rFonts w:ascii="Calibri" w:hAnsi="Calibri"/>
              </w:rPr>
              <w:t>≤</w:t>
            </w:r>
            <w:r w:rsidRPr="00015D3D">
              <w:rPr>
                <w:rFonts w:ascii="Calibri" w:hAnsi="Calibri"/>
              </w:rPr>
              <w:t>25%</w:t>
            </w:r>
          </w:p>
        </w:tc>
      </w:tr>
      <w:tr w:rsidR="008A3C74" w:rsidRPr="00015D3D" w14:paraId="1CA55BE4" w14:textId="77777777" w:rsidTr="001F2D1F">
        <w:trPr>
          <w:trHeight w:val="315"/>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14:paraId="4963CE38" w14:textId="77777777" w:rsidR="008A3C74" w:rsidRPr="00015D3D" w:rsidRDefault="008A3C74" w:rsidP="00F60809">
            <w:pPr>
              <w:spacing w:after="0" w:line="240" w:lineRule="auto"/>
              <w:jc w:val="center"/>
              <w:rPr>
                <w:rFonts w:ascii="Calibri" w:hAnsi="Calibri"/>
              </w:rPr>
            </w:pPr>
            <w:r w:rsidRPr="00015D3D">
              <w:rPr>
                <w:rFonts w:ascii="Calibri" w:hAnsi="Calibri"/>
              </w:rPr>
              <w:t>10-19</w:t>
            </w:r>
          </w:p>
        </w:tc>
        <w:tc>
          <w:tcPr>
            <w:tcW w:w="3573" w:type="dxa"/>
            <w:tcBorders>
              <w:top w:val="nil"/>
              <w:left w:val="nil"/>
              <w:bottom w:val="single" w:sz="4" w:space="0" w:color="auto"/>
              <w:right w:val="single" w:sz="4" w:space="0" w:color="auto"/>
            </w:tcBorders>
            <w:shd w:val="clear" w:color="auto" w:fill="auto"/>
            <w:noWrap/>
            <w:vAlign w:val="center"/>
            <w:hideMark/>
          </w:tcPr>
          <w:p w14:paraId="14EB298A" w14:textId="77777777" w:rsidR="008A3C74" w:rsidRPr="00015D3D" w:rsidRDefault="008A3C74" w:rsidP="00F60809">
            <w:pPr>
              <w:spacing w:after="0" w:line="240" w:lineRule="auto"/>
              <w:jc w:val="center"/>
              <w:rPr>
                <w:rFonts w:ascii="Calibri" w:hAnsi="Calibri"/>
              </w:rPr>
            </w:pPr>
            <w:r>
              <w:rPr>
                <w:rFonts w:ascii="Calibri" w:hAnsi="Calibri"/>
              </w:rPr>
              <w:t>≥</w:t>
            </w:r>
            <w:r w:rsidRPr="00015D3D">
              <w:rPr>
                <w:rFonts w:ascii="Calibri" w:hAnsi="Calibri"/>
              </w:rPr>
              <w:t xml:space="preserve">80% or </w:t>
            </w:r>
            <w:r>
              <w:rPr>
                <w:rFonts w:ascii="Calibri" w:hAnsi="Calibri"/>
              </w:rPr>
              <w:t>≤</w:t>
            </w:r>
            <w:r w:rsidRPr="00015D3D">
              <w:rPr>
                <w:rFonts w:ascii="Calibri" w:hAnsi="Calibri"/>
              </w:rPr>
              <w:t>20%</w:t>
            </w:r>
          </w:p>
        </w:tc>
      </w:tr>
      <w:tr w:rsidR="008A3C74" w:rsidRPr="00015D3D" w14:paraId="2FCE763C" w14:textId="77777777" w:rsidTr="001F2D1F">
        <w:trPr>
          <w:trHeight w:val="315"/>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14:paraId="0EC2FB9E" w14:textId="77777777" w:rsidR="008A3C74" w:rsidRPr="00015D3D" w:rsidRDefault="008A3C74" w:rsidP="00F60809">
            <w:pPr>
              <w:spacing w:after="0" w:line="240" w:lineRule="auto"/>
              <w:jc w:val="center"/>
              <w:rPr>
                <w:rFonts w:ascii="Calibri" w:hAnsi="Calibri"/>
              </w:rPr>
            </w:pPr>
            <w:r w:rsidRPr="00015D3D">
              <w:rPr>
                <w:rFonts w:ascii="Calibri" w:hAnsi="Calibri"/>
              </w:rPr>
              <w:t>20-39</w:t>
            </w:r>
          </w:p>
        </w:tc>
        <w:tc>
          <w:tcPr>
            <w:tcW w:w="3573" w:type="dxa"/>
            <w:tcBorders>
              <w:top w:val="nil"/>
              <w:left w:val="nil"/>
              <w:bottom w:val="single" w:sz="4" w:space="0" w:color="auto"/>
              <w:right w:val="single" w:sz="4" w:space="0" w:color="auto"/>
            </w:tcBorders>
            <w:shd w:val="clear" w:color="auto" w:fill="auto"/>
            <w:noWrap/>
            <w:vAlign w:val="center"/>
            <w:hideMark/>
          </w:tcPr>
          <w:p w14:paraId="693BA24E" w14:textId="77777777" w:rsidR="008A3C74" w:rsidRPr="00015D3D" w:rsidRDefault="008A3C74" w:rsidP="00F60809">
            <w:pPr>
              <w:spacing w:after="0" w:line="240" w:lineRule="auto"/>
              <w:jc w:val="center"/>
              <w:rPr>
                <w:rFonts w:ascii="Calibri" w:hAnsi="Calibri"/>
              </w:rPr>
            </w:pPr>
            <w:r>
              <w:rPr>
                <w:rFonts w:ascii="Calibri" w:hAnsi="Calibri"/>
              </w:rPr>
              <w:t>≥</w:t>
            </w:r>
            <w:r w:rsidRPr="00015D3D">
              <w:rPr>
                <w:rFonts w:ascii="Calibri" w:hAnsi="Calibri"/>
              </w:rPr>
              <w:t xml:space="preserve">90% or </w:t>
            </w:r>
            <w:r>
              <w:rPr>
                <w:rFonts w:ascii="Calibri" w:hAnsi="Calibri"/>
              </w:rPr>
              <w:t>≤</w:t>
            </w:r>
            <w:r w:rsidRPr="00015D3D">
              <w:rPr>
                <w:rFonts w:ascii="Calibri" w:hAnsi="Calibri"/>
              </w:rPr>
              <w:t>10%</w:t>
            </w:r>
          </w:p>
        </w:tc>
      </w:tr>
      <w:tr w:rsidR="008A3C74" w:rsidRPr="00015D3D" w14:paraId="4B66D958" w14:textId="77777777" w:rsidTr="001F2D1F">
        <w:trPr>
          <w:trHeight w:val="315"/>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14:paraId="1E9AA4DB" w14:textId="77777777" w:rsidR="008A3C74" w:rsidRPr="00015D3D" w:rsidRDefault="008A3C74" w:rsidP="00F60809">
            <w:pPr>
              <w:spacing w:after="0" w:line="240" w:lineRule="auto"/>
              <w:jc w:val="center"/>
              <w:rPr>
                <w:rFonts w:ascii="Calibri" w:hAnsi="Calibri"/>
              </w:rPr>
            </w:pPr>
            <w:r w:rsidRPr="00015D3D">
              <w:rPr>
                <w:rFonts w:ascii="Calibri" w:hAnsi="Calibri"/>
              </w:rPr>
              <w:t>40 or more</w:t>
            </w:r>
          </w:p>
        </w:tc>
        <w:tc>
          <w:tcPr>
            <w:tcW w:w="3573" w:type="dxa"/>
            <w:tcBorders>
              <w:top w:val="nil"/>
              <w:left w:val="nil"/>
              <w:bottom w:val="single" w:sz="4" w:space="0" w:color="auto"/>
              <w:right w:val="single" w:sz="4" w:space="0" w:color="auto"/>
            </w:tcBorders>
            <w:shd w:val="clear" w:color="auto" w:fill="auto"/>
            <w:noWrap/>
            <w:vAlign w:val="center"/>
            <w:hideMark/>
          </w:tcPr>
          <w:p w14:paraId="2DB31CDB" w14:textId="77777777" w:rsidR="008A3C74" w:rsidRPr="00015D3D" w:rsidRDefault="008A3C74" w:rsidP="00F60809">
            <w:pPr>
              <w:spacing w:after="0" w:line="240" w:lineRule="auto"/>
              <w:jc w:val="center"/>
              <w:rPr>
                <w:rFonts w:ascii="Calibri" w:hAnsi="Calibri"/>
              </w:rPr>
            </w:pPr>
            <w:r>
              <w:rPr>
                <w:rFonts w:ascii="Calibri" w:hAnsi="Calibri"/>
              </w:rPr>
              <w:t>≥</w:t>
            </w:r>
            <w:r w:rsidRPr="00015D3D">
              <w:rPr>
                <w:rFonts w:ascii="Calibri" w:hAnsi="Calibri"/>
              </w:rPr>
              <w:t xml:space="preserve">95% or </w:t>
            </w:r>
            <w:r>
              <w:rPr>
                <w:rFonts w:ascii="Calibri" w:hAnsi="Calibri"/>
              </w:rPr>
              <w:t>≤</w:t>
            </w:r>
            <w:r w:rsidRPr="00015D3D">
              <w:rPr>
                <w:rFonts w:ascii="Calibri" w:hAnsi="Calibri"/>
              </w:rPr>
              <w:t>5%</w:t>
            </w:r>
          </w:p>
        </w:tc>
      </w:tr>
    </w:tbl>
    <w:p w14:paraId="175B0172" w14:textId="4414CB72" w:rsidR="00484B15" w:rsidRDefault="00484B15" w:rsidP="00691585">
      <w:pPr>
        <w:spacing w:after="0"/>
        <w:rPr>
          <w:rFonts w:ascii="Calibri" w:hAnsi="Calibri"/>
        </w:rPr>
      </w:pPr>
    </w:p>
    <w:p w14:paraId="376339F9" w14:textId="4A9E1E54" w:rsidR="008A3C74" w:rsidRDefault="008A3C74" w:rsidP="006641B6">
      <w:pPr>
        <w:pStyle w:val="ListParagraph"/>
        <w:numPr>
          <w:ilvl w:val="0"/>
          <w:numId w:val="89"/>
        </w:numPr>
        <w:ind w:left="1440"/>
      </w:pPr>
      <w:r w:rsidRPr="008A3C74">
        <w:t>If the State’s minimum number of students for purposes of reporting is lower than the minimum number of students for accountability purposes, provide the State’s minimum number of students for purposes of reporting</w:t>
      </w:r>
      <w:r w:rsidRPr="00697AC2">
        <w:t xml:space="preserve">. </w:t>
      </w:r>
    </w:p>
    <w:p w14:paraId="1C6817B0" w14:textId="77777777" w:rsidR="008A3C74" w:rsidRDefault="008A3C74" w:rsidP="00462285">
      <w:pPr>
        <w:rPr>
          <w:rFonts w:ascii="Calibri" w:hAnsi="Calibri"/>
        </w:rPr>
      </w:pPr>
      <w:r w:rsidRPr="00015D3D">
        <w:rPr>
          <w:rFonts w:ascii="Calibri" w:hAnsi="Calibri"/>
        </w:rPr>
        <w:t>Alaska’s minimum number of students for purposes of reporting has</w:t>
      </w:r>
      <w:r>
        <w:rPr>
          <w:rFonts w:ascii="Calibri" w:hAnsi="Calibri"/>
        </w:rPr>
        <w:t xml:space="preserve"> been</w:t>
      </w:r>
      <w:r w:rsidRPr="00015D3D">
        <w:rPr>
          <w:rFonts w:ascii="Calibri" w:hAnsi="Calibri"/>
        </w:rPr>
        <w:t xml:space="preserve"> </w:t>
      </w:r>
      <w:r>
        <w:rPr>
          <w:rFonts w:ascii="Calibri" w:hAnsi="Calibri"/>
        </w:rPr>
        <w:t>and will continue to be</w:t>
      </w:r>
      <w:r w:rsidRPr="00015D3D">
        <w:rPr>
          <w:rFonts w:ascii="Calibri" w:hAnsi="Calibri"/>
        </w:rPr>
        <w:t xml:space="preserve"> </w:t>
      </w:r>
      <w:r>
        <w:rPr>
          <w:rFonts w:ascii="Calibri" w:hAnsi="Calibri"/>
        </w:rPr>
        <w:t>five</w:t>
      </w:r>
      <w:r w:rsidRPr="00015D3D">
        <w:rPr>
          <w:rFonts w:ascii="Calibri" w:hAnsi="Calibri"/>
        </w:rPr>
        <w:t xml:space="preserve">. As noted in Section A.4.ii.d., Alaska’s suppression rules are based on an </w:t>
      </w:r>
      <w:r w:rsidRPr="004F3C85">
        <w:rPr>
          <w:rFonts w:ascii="Calibri" w:hAnsi="Calibri"/>
          <w:i/>
        </w:rPr>
        <w:t>n-</w:t>
      </w:r>
      <w:r w:rsidRPr="00015D3D">
        <w:rPr>
          <w:rFonts w:ascii="Calibri" w:hAnsi="Calibri"/>
        </w:rPr>
        <w:t xml:space="preserve">size of </w:t>
      </w:r>
      <w:r>
        <w:rPr>
          <w:rFonts w:ascii="Calibri" w:hAnsi="Calibri"/>
        </w:rPr>
        <w:t>five</w:t>
      </w:r>
      <w:r w:rsidRPr="00015D3D">
        <w:rPr>
          <w:rFonts w:ascii="Calibri" w:hAnsi="Calibri"/>
        </w:rPr>
        <w:t xml:space="preserve"> whether there are two or four reporting categories.</w:t>
      </w:r>
    </w:p>
    <w:p w14:paraId="7F3A53EC" w14:textId="75367F71" w:rsidR="008F5E07" w:rsidRPr="00462285" w:rsidRDefault="008F5E07" w:rsidP="006641B6">
      <w:pPr>
        <w:pStyle w:val="ListParagraph"/>
        <w:numPr>
          <w:ilvl w:val="2"/>
          <w:numId w:val="87"/>
        </w:numPr>
        <w:ind w:left="1080"/>
        <w:rPr>
          <w:b/>
        </w:rPr>
      </w:pPr>
      <w:bookmarkStart w:id="9" w:name="_Toc6231626"/>
      <w:r w:rsidRPr="00462285">
        <w:rPr>
          <w:rStyle w:val="Heading2Char"/>
          <w:sz w:val="22"/>
          <w:szCs w:val="22"/>
        </w:rPr>
        <w:t>Establishment of Long-Term Goals</w:t>
      </w:r>
      <w:r w:rsidRPr="00462285">
        <w:t xml:space="preserve"> </w:t>
      </w:r>
      <w:r w:rsidRPr="00462285">
        <w:rPr>
          <w:i/>
          <w:iCs/>
        </w:rPr>
        <w:t>(ESEA section 1111(c)(4)(A))</w:t>
      </w:r>
      <w:r w:rsidRPr="00462285">
        <w:t>:</w:t>
      </w:r>
      <w:bookmarkEnd w:id="9"/>
      <w:r w:rsidRPr="00462285">
        <w:t xml:space="preserve"> </w:t>
      </w:r>
    </w:p>
    <w:p w14:paraId="7BB28F80" w14:textId="2EC508D1" w:rsidR="008F5E07" w:rsidRPr="00462285" w:rsidRDefault="008F5E07" w:rsidP="006641B6">
      <w:pPr>
        <w:pStyle w:val="ListParagraph"/>
        <w:numPr>
          <w:ilvl w:val="0"/>
          <w:numId w:val="90"/>
        </w:numPr>
        <w:ind w:left="1440"/>
        <w:rPr>
          <w:rStyle w:val="Strong"/>
          <w:rFonts w:cstheme="minorHAnsi"/>
          <w:b w:val="0"/>
        </w:rPr>
      </w:pPr>
      <w:r w:rsidRPr="00462285">
        <w:rPr>
          <w:rStyle w:val="Strong"/>
          <w:rFonts w:cstheme="minorHAnsi"/>
          <w:b w:val="0"/>
        </w:rPr>
        <w:t xml:space="preserve">Academic Achievement. (ESEA section 1111(c)(4)(A)(i)(I)(aa)) </w:t>
      </w:r>
    </w:p>
    <w:p w14:paraId="0C380AA1" w14:textId="68F8A838" w:rsidR="008F5E07" w:rsidRPr="00462285" w:rsidRDefault="008F5E07" w:rsidP="00462285">
      <w:pPr>
        <w:pStyle w:val="ListParagraph"/>
        <w:numPr>
          <w:ilvl w:val="2"/>
          <w:numId w:val="1"/>
        </w:numPr>
        <w:ind w:left="1800"/>
        <w:rPr>
          <w:rStyle w:val="Strong"/>
          <w:rFonts w:cstheme="minorHAnsi"/>
          <w:b w:val="0"/>
        </w:rPr>
      </w:pPr>
      <w:r w:rsidRPr="00462285">
        <w:rPr>
          <w:rStyle w:val="Strong"/>
          <w:rFonts w:cstheme="minorHAnsi"/>
          <w:b w:val="0"/>
        </w:rPr>
        <w:t xml:space="preserve">Describe the long-term goals for improved academic achievement, as measured by proficiency on the annual statewide reading/language arts and mathematics assessments, for all students and for each subgroup of students, including: (i) baseline data; (ii) the timeline for meeting the long-term goals, for which the term must be the same multi-year length of time for all students and for each subgroup of students in the State; and (iii) how the long-term goals are ambitious. </w:t>
      </w:r>
    </w:p>
    <w:p w14:paraId="64DE4E52" w14:textId="4CF86EE1" w:rsidR="008F5E07" w:rsidRDefault="008F5E07" w:rsidP="00462285">
      <w:r>
        <w:t xml:space="preserve">Students in grades 3-10 took the Performance Evaluation for Alaska’s Schools (PEAKS) assessment for the first time in spring 2017. In spring 2018, the only grade in high school to be assessed will be grade 9. Also, the grade 9 math assessment will transition to an algebra-based assessment. These two changes </w:t>
      </w:r>
      <w:r>
        <w:lastRenderedPageBreak/>
        <w:t>will affect the 2017 baseline data used to determine long-term goals and measures of interim progress for academic achievement as measured by statewide assessments. In 2017, 39.4 percent of students in grades 3-9 were proficient on the ELA assessment. Also in 2017, 35.4 percent of students in grades 3-8 were proficient on the math assessment. Standard setting will be required following the administration of the 2018 grade 9 math assessment; therefore, 2017 grade 9 math results cannot be compared to 2018 grade 9 math results. The percentages noted in this paragraph include full academic year students (FAY)</w:t>
      </w:r>
      <w:r>
        <w:rPr>
          <w:rStyle w:val="FootnoteReference"/>
          <w:rFonts w:ascii="Calibri" w:hAnsi="Calibri"/>
        </w:rPr>
        <w:footnoteReference w:id="2"/>
      </w:r>
      <w:r w:rsidR="001F2D1F">
        <w:t xml:space="preserve"> only.</w:t>
      </w:r>
    </w:p>
    <w:p w14:paraId="32BC659C" w14:textId="7E261EB0" w:rsidR="008F5E07" w:rsidRDefault="008F5E07" w:rsidP="008F5E07">
      <w:pPr>
        <w:rPr>
          <w:rFonts w:ascii="Calibri" w:hAnsi="Calibri"/>
        </w:rPr>
      </w:pPr>
      <w:r>
        <w:rPr>
          <w:rFonts w:ascii="Calibri" w:hAnsi="Calibri"/>
        </w:rPr>
        <w:t xml:space="preserve">Alaska proposes a long-term goal of reducing by half the percentage of non-proficient students on the statewide assessments in English language arts (ELA) and mathematics in 10 years (by the 2026-2027 school year). This aligns with the State Board of </w:t>
      </w:r>
      <w:r w:rsidRPr="000706DA">
        <w:rPr>
          <w:rFonts w:ascii="Calibri" w:hAnsi="Calibri"/>
        </w:rPr>
        <w:t>Education &amp; Early Development</w:t>
      </w:r>
      <w:r>
        <w:rPr>
          <w:rFonts w:ascii="Calibri" w:hAnsi="Calibri"/>
        </w:rPr>
        <w:t xml:space="preserve">’s strategic priority to amplify student learning. The rationale for choosing this goal is to provide a realistic, yet ambitious, long-term goal and measures of interim progress for all students and </w:t>
      </w:r>
      <w:r w:rsidRPr="00961701">
        <w:rPr>
          <w:rFonts w:ascii="Calibri" w:hAnsi="Calibri"/>
        </w:rPr>
        <w:t xml:space="preserve">all subgroups based on their </w:t>
      </w:r>
      <w:r w:rsidRPr="00950CD1">
        <w:rPr>
          <w:rFonts w:ascii="Calibri" w:hAnsi="Calibri"/>
        </w:rPr>
        <w:t xml:space="preserve">respective </w:t>
      </w:r>
      <w:r w:rsidRPr="008822B3">
        <w:rPr>
          <w:rFonts w:ascii="Calibri" w:hAnsi="Calibri"/>
        </w:rPr>
        <w:t>points. As shown in the summary chart below, at the end of 10 years, the long-term goal for ELA for all students will be 69.7 percent proficient and in math it will be 67.7 percent proficient. While it is important for all students in Alaska to be prepared for their future upon graduation, the long-term goals recognize the work needed to increase Alaska student performance over</w:t>
      </w:r>
      <w:r w:rsidR="001F2D1F">
        <w:rPr>
          <w:rFonts w:ascii="Calibri" w:hAnsi="Calibri"/>
        </w:rPr>
        <w:t xml:space="preserve"> time.</w:t>
      </w:r>
    </w:p>
    <w:p w14:paraId="0092DFFA" w14:textId="40263882" w:rsidR="001F2D1F" w:rsidRDefault="008F5E07" w:rsidP="008F5E07">
      <w:pPr>
        <w:rPr>
          <w:rFonts w:ascii="Calibri" w:hAnsi="Calibri"/>
        </w:rPr>
      </w:pPr>
      <w:r>
        <w:rPr>
          <w:rFonts w:ascii="Calibri" w:hAnsi="Calibri"/>
        </w:rPr>
        <w:t>Alaska will establish measures of interim progress as uniform annual increases in the percentage of students who are proficient for the all students group and all subgroups based on their respective starting points. The annual increase needed for the all students group will be 3.0 percent in ELA and 3.2 percent in math. As shown in the table below, some subgroups at the state level may see annual increases in measures of interim progress as high as 4.7 percent.</w:t>
      </w:r>
    </w:p>
    <w:p w14:paraId="1552A9D9" w14:textId="77777777" w:rsidR="001F2D1F" w:rsidRDefault="001F2D1F">
      <w:pPr>
        <w:rPr>
          <w:rFonts w:ascii="Calibri" w:hAnsi="Calibri"/>
        </w:rPr>
      </w:pPr>
      <w:r>
        <w:rPr>
          <w:rFonts w:ascii="Calibri" w:hAnsi="Calibri"/>
        </w:rPr>
        <w:br w:type="page"/>
      </w:r>
    </w:p>
    <w:p w14:paraId="2C0EEA82" w14:textId="1D00B7E7" w:rsidR="008F5E07" w:rsidRPr="008903CE" w:rsidRDefault="008F5E07" w:rsidP="008903CE">
      <w:pPr>
        <w:rPr>
          <w:b/>
        </w:rPr>
      </w:pPr>
      <w:r w:rsidRPr="008903CE">
        <w:rPr>
          <w:b/>
        </w:rPr>
        <w:lastRenderedPageBreak/>
        <w:t>Summary of Statewide Long-Term Academic Achievement Goals</w:t>
      </w:r>
    </w:p>
    <w:tbl>
      <w:tblPr>
        <w:tblW w:w="5000" w:type="pct"/>
        <w:tblLook w:val="04A0" w:firstRow="1" w:lastRow="0" w:firstColumn="1" w:lastColumn="0" w:noHBand="0" w:noVBand="1"/>
        <w:tblCaption w:val="Summary of Statewide Long-Term Academic Achievement Goals"/>
        <w:tblDescription w:val="Shows the baseline performance and long-goals for subgroups in ELA and Math"/>
      </w:tblPr>
      <w:tblGrid>
        <w:gridCol w:w="2823"/>
        <w:gridCol w:w="1014"/>
        <w:gridCol w:w="1117"/>
        <w:gridCol w:w="1073"/>
        <w:gridCol w:w="1035"/>
        <w:gridCol w:w="1215"/>
        <w:gridCol w:w="1073"/>
      </w:tblGrid>
      <w:tr w:rsidR="008F5E07" w:rsidRPr="00777102" w14:paraId="0024CB42" w14:textId="77777777" w:rsidTr="00C23980">
        <w:trPr>
          <w:trHeight w:val="2263"/>
          <w:tblHeader/>
        </w:trPr>
        <w:tc>
          <w:tcPr>
            <w:tcW w:w="1511" w:type="pct"/>
            <w:tcBorders>
              <w:top w:val="single" w:sz="4" w:space="0" w:color="auto"/>
              <w:left w:val="single" w:sz="4" w:space="0" w:color="auto"/>
              <w:bottom w:val="single" w:sz="4" w:space="0" w:color="auto"/>
              <w:right w:val="single" w:sz="4" w:space="0" w:color="auto"/>
            </w:tcBorders>
            <w:vAlign w:val="center"/>
            <w:hideMark/>
          </w:tcPr>
          <w:p w14:paraId="26808496" w14:textId="0EBF8848" w:rsidR="008F5E07" w:rsidRPr="001E3DBF" w:rsidRDefault="008F5E07" w:rsidP="0064319B">
            <w:pPr>
              <w:spacing w:after="0" w:line="240" w:lineRule="auto"/>
              <w:rPr>
                <w:rFonts w:ascii="Calibri" w:eastAsia="Times New Roman" w:hAnsi="Calibri" w:cs="Times New Roman"/>
                <w:sz w:val="20"/>
              </w:rPr>
            </w:pPr>
            <w:r w:rsidRPr="00777102">
              <w:rPr>
                <w:rFonts w:ascii="Calibri" w:eastAsia="Times New Roman" w:hAnsi="Calibri" w:cs="Times New Roman"/>
                <w:sz w:val="20"/>
              </w:rPr>
              <w:t>Student Group</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860F3" w14:textId="77777777" w:rsidR="008F5E07" w:rsidRDefault="008F5E07" w:rsidP="0064319B">
            <w:pPr>
              <w:spacing w:after="0" w:line="240" w:lineRule="auto"/>
              <w:jc w:val="center"/>
              <w:rPr>
                <w:rFonts w:ascii="Calibri" w:eastAsia="Times New Roman" w:hAnsi="Calibri" w:cs="Times New Roman"/>
                <w:b/>
                <w:sz w:val="20"/>
              </w:rPr>
            </w:pPr>
            <w:r w:rsidRPr="00777102">
              <w:rPr>
                <w:rFonts w:ascii="Calibri" w:eastAsia="Times New Roman" w:hAnsi="Calibri" w:cs="Times New Roman"/>
                <w:sz w:val="20"/>
              </w:rPr>
              <w:t>ELA: Grades 3-9 FAY students only</w:t>
            </w:r>
            <w:r w:rsidRPr="001E3DBF">
              <w:rPr>
                <w:rFonts w:ascii="Calibri" w:eastAsia="Times New Roman" w:hAnsi="Calibri" w:cs="Times New Roman"/>
                <w:sz w:val="20"/>
              </w:rPr>
              <w:t xml:space="preserve"> </w:t>
            </w:r>
            <w:r w:rsidRPr="008F5E07">
              <w:rPr>
                <w:rFonts w:ascii="Calibri" w:eastAsia="Times New Roman" w:hAnsi="Calibri" w:cs="Times New Roman"/>
                <w:b/>
                <w:sz w:val="20"/>
              </w:rPr>
              <w:t>Baseline</w:t>
            </w:r>
          </w:p>
          <w:p w14:paraId="2B6B2AA9" w14:textId="3A8395D8" w:rsidR="008F5E07" w:rsidRPr="001E3DBF" w:rsidRDefault="008F5E07" w:rsidP="0064319B">
            <w:pPr>
              <w:spacing w:after="0" w:line="240" w:lineRule="auto"/>
              <w:jc w:val="center"/>
              <w:rPr>
                <w:rFonts w:ascii="Calibri" w:eastAsia="Times New Roman" w:hAnsi="Calibri" w:cs="Times New Roman"/>
                <w:sz w:val="20"/>
              </w:rPr>
            </w:pPr>
            <w:r w:rsidRPr="001E3DBF">
              <w:rPr>
                <w:rFonts w:ascii="Calibri" w:eastAsia="Times New Roman" w:hAnsi="Calibri" w:cs="Times New Roman"/>
                <w:sz w:val="20"/>
              </w:rPr>
              <w:t>2016-2017</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B104B" w14:textId="77777777" w:rsidR="008F5E07"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ELA: Grades 3-9 FAY students only</w:t>
            </w:r>
            <w:r w:rsidRPr="001E3DBF">
              <w:rPr>
                <w:rFonts w:ascii="Calibri" w:eastAsia="Times New Roman" w:hAnsi="Calibri" w:cs="Times New Roman"/>
                <w:sz w:val="20"/>
              </w:rPr>
              <w:t xml:space="preserve"> </w:t>
            </w:r>
          </w:p>
          <w:p w14:paraId="63E6B611" w14:textId="77777777" w:rsidR="008F5E07" w:rsidRDefault="008F5E07" w:rsidP="0064319B">
            <w:pPr>
              <w:spacing w:after="0" w:line="240" w:lineRule="auto"/>
              <w:jc w:val="center"/>
              <w:rPr>
                <w:rFonts w:ascii="Calibri" w:eastAsia="Times New Roman" w:hAnsi="Calibri" w:cs="Times New Roman"/>
                <w:b/>
                <w:sz w:val="20"/>
              </w:rPr>
            </w:pPr>
            <w:r w:rsidRPr="008F5E07">
              <w:rPr>
                <w:rFonts w:ascii="Calibri" w:eastAsia="Times New Roman" w:hAnsi="Calibri" w:cs="Times New Roman"/>
                <w:b/>
                <w:sz w:val="20"/>
              </w:rPr>
              <w:t>Long-Term Goal</w:t>
            </w:r>
          </w:p>
          <w:p w14:paraId="495069C3" w14:textId="26B0B399" w:rsidR="008F5E07" w:rsidRPr="001E3DBF" w:rsidRDefault="008F5E07" w:rsidP="0064319B">
            <w:pPr>
              <w:spacing w:after="0" w:line="240" w:lineRule="auto"/>
              <w:jc w:val="center"/>
              <w:rPr>
                <w:rFonts w:ascii="Calibri" w:eastAsia="Times New Roman" w:hAnsi="Calibri" w:cs="Times New Roman"/>
                <w:sz w:val="20"/>
              </w:rPr>
            </w:pPr>
            <w:r w:rsidRPr="001E3DBF">
              <w:rPr>
                <w:rFonts w:ascii="Calibri" w:eastAsia="Times New Roman" w:hAnsi="Calibri" w:cs="Times New Roman"/>
                <w:sz w:val="20"/>
              </w:rPr>
              <w:t>2026-2027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64BE9" w14:textId="1405A03C" w:rsidR="008F5E07" w:rsidRPr="001E3DBF"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ELA: Grades 3-9 FAY students only</w:t>
            </w:r>
            <w:r w:rsidRPr="001E3DBF">
              <w:rPr>
                <w:rFonts w:ascii="Calibri" w:eastAsia="Times New Roman" w:hAnsi="Calibri" w:cs="Times New Roman"/>
                <w:sz w:val="20"/>
              </w:rPr>
              <w:t xml:space="preserve"> </w:t>
            </w:r>
            <w:r w:rsidRPr="008F5E07">
              <w:rPr>
                <w:rFonts w:ascii="Calibri" w:eastAsia="Times New Roman" w:hAnsi="Calibri" w:cs="Times New Roman"/>
                <w:b/>
                <w:sz w:val="20"/>
              </w:rPr>
              <w:t>Annual Increment Needed</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AA136" w14:textId="77777777" w:rsidR="008F5E07" w:rsidRDefault="008F5E07" w:rsidP="0064319B">
            <w:pPr>
              <w:spacing w:after="0" w:line="240" w:lineRule="auto"/>
              <w:jc w:val="center"/>
              <w:rPr>
                <w:rFonts w:ascii="Calibri" w:eastAsia="Times New Roman" w:hAnsi="Calibri" w:cs="Times New Roman"/>
                <w:b/>
                <w:sz w:val="20"/>
              </w:rPr>
            </w:pPr>
            <w:r w:rsidRPr="00777102">
              <w:rPr>
                <w:rFonts w:ascii="Calibri" w:eastAsia="Times New Roman" w:hAnsi="Calibri" w:cs="Times New Roman"/>
                <w:sz w:val="20"/>
              </w:rPr>
              <w:t>Math: Grades 3-8 FAY students only</w:t>
            </w:r>
            <w:r w:rsidRPr="001E3DBF">
              <w:rPr>
                <w:rFonts w:ascii="Calibri" w:eastAsia="Times New Roman" w:hAnsi="Calibri" w:cs="Times New Roman"/>
                <w:sz w:val="20"/>
              </w:rPr>
              <w:t xml:space="preserve"> </w:t>
            </w:r>
            <w:r w:rsidRPr="008F5E07">
              <w:rPr>
                <w:rFonts w:ascii="Calibri" w:eastAsia="Times New Roman" w:hAnsi="Calibri" w:cs="Times New Roman"/>
                <w:b/>
                <w:sz w:val="20"/>
              </w:rPr>
              <w:t>Baseline</w:t>
            </w:r>
          </w:p>
          <w:p w14:paraId="7FCAFCF6" w14:textId="5EBB4889" w:rsidR="008F5E07" w:rsidRPr="001E3DBF" w:rsidRDefault="008F5E07" w:rsidP="0064319B">
            <w:pPr>
              <w:spacing w:after="0" w:line="240" w:lineRule="auto"/>
              <w:jc w:val="center"/>
              <w:rPr>
                <w:rFonts w:ascii="Calibri" w:eastAsia="Times New Roman" w:hAnsi="Calibri" w:cs="Times New Roman"/>
                <w:sz w:val="20"/>
              </w:rPr>
            </w:pPr>
            <w:r w:rsidRPr="001E3DBF">
              <w:rPr>
                <w:rFonts w:ascii="Calibri" w:eastAsia="Times New Roman" w:hAnsi="Calibri" w:cs="Times New Roman"/>
                <w:sz w:val="20"/>
              </w:rPr>
              <w:t>2016-2017</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EABAC" w14:textId="77777777" w:rsidR="008F5E07"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Math: Grades 3-8 FAY students only</w:t>
            </w:r>
          </w:p>
          <w:p w14:paraId="46F84446" w14:textId="77777777" w:rsidR="008F5E07" w:rsidRDefault="008F5E07" w:rsidP="0064319B">
            <w:pPr>
              <w:spacing w:after="0" w:line="240" w:lineRule="auto"/>
              <w:jc w:val="center"/>
              <w:rPr>
                <w:rFonts w:ascii="Calibri" w:eastAsia="Times New Roman" w:hAnsi="Calibri" w:cs="Times New Roman"/>
                <w:b/>
                <w:sz w:val="20"/>
              </w:rPr>
            </w:pPr>
            <w:r w:rsidRPr="001E3DBF">
              <w:rPr>
                <w:rFonts w:ascii="Calibri" w:eastAsia="Times New Roman" w:hAnsi="Calibri" w:cs="Times New Roman"/>
                <w:sz w:val="20"/>
              </w:rPr>
              <w:t xml:space="preserve"> </w:t>
            </w:r>
            <w:r w:rsidRPr="008F5E07">
              <w:rPr>
                <w:rFonts w:ascii="Calibri" w:eastAsia="Times New Roman" w:hAnsi="Calibri" w:cs="Times New Roman"/>
                <w:b/>
                <w:sz w:val="20"/>
              </w:rPr>
              <w:t>Long-Term Goal</w:t>
            </w:r>
          </w:p>
          <w:p w14:paraId="295768F9" w14:textId="7E5CBE2A" w:rsidR="008F5E07" w:rsidRPr="008F5E07" w:rsidRDefault="008F5E07" w:rsidP="0064319B">
            <w:pPr>
              <w:spacing w:after="0" w:line="240" w:lineRule="auto"/>
              <w:jc w:val="center"/>
              <w:rPr>
                <w:rFonts w:ascii="Calibri" w:eastAsia="Times New Roman" w:hAnsi="Calibri" w:cs="Times New Roman"/>
                <w:b/>
                <w:sz w:val="20"/>
              </w:rPr>
            </w:pPr>
            <w:r w:rsidRPr="001E3DBF">
              <w:rPr>
                <w:rFonts w:ascii="Calibri" w:eastAsia="Times New Roman" w:hAnsi="Calibri" w:cs="Times New Roman"/>
                <w:sz w:val="20"/>
              </w:rPr>
              <w:t>2026-2027</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2D8D3" w14:textId="6F743090" w:rsidR="008F5E07" w:rsidRPr="001E3DBF"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Math: Grades 3-8 FAY students only</w:t>
            </w:r>
            <w:r w:rsidRPr="001E3DBF">
              <w:rPr>
                <w:rFonts w:ascii="Calibri" w:eastAsia="Times New Roman" w:hAnsi="Calibri" w:cs="Times New Roman"/>
                <w:sz w:val="20"/>
              </w:rPr>
              <w:t xml:space="preserve"> </w:t>
            </w:r>
            <w:r w:rsidRPr="00F96089">
              <w:rPr>
                <w:rFonts w:ascii="Calibri" w:eastAsia="Times New Roman" w:hAnsi="Calibri" w:cs="Times New Roman"/>
                <w:b/>
                <w:sz w:val="20"/>
              </w:rPr>
              <w:t>Annual Increment Needed</w:t>
            </w:r>
          </w:p>
        </w:tc>
      </w:tr>
      <w:tr w:rsidR="008F5E07" w:rsidRPr="00777102" w14:paraId="70942630"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62C4D54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All Students</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14:paraId="3437F61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39.4%</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61E99C2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69.7%</w:t>
            </w:r>
          </w:p>
        </w:tc>
        <w:tc>
          <w:tcPr>
            <w:tcW w:w="575" w:type="pct"/>
            <w:tcBorders>
              <w:top w:val="nil"/>
              <w:left w:val="nil"/>
              <w:bottom w:val="single" w:sz="4" w:space="0" w:color="auto"/>
              <w:right w:val="single" w:sz="4" w:space="0" w:color="auto"/>
            </w:tcBorders>
            <w:shd w:val="clear" w:color="auto" w:fill="auto"/>
            <w:noWrap/>
            <w:vAlign w:val="center"/>
            <w:hideMark/>
          </w:tcPr>
          <w:p w14:paraId="5A17D03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3.0%</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14:paraId="5E9CB915"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35.4%</w:t>
            </w:r>
          </w:p>
        </w:tc>
        <w:tc>
          <w:tcPr>
            <w:tcW w:w="651" w:type="pct"/>
            <w:tcBorders>
              <w:top w:val="single" w:sz="4" w:space="0" w:color="auto"/>
              <w:left w:val="nil"/>
              <w:bottom w:val="single" w:sz="4" w:space="0" w:color="auto"/>
              <w:right w:val="single" w:sz="4" w:space="0" w:color="auto"/>
            </w:tcBorders>
            <w:shd w:val="clear" w:color="auto" w:fill="auto"/>
            <w:noWrap/>
            <w:vAlign w:val="center"/>
            <w:hideMark/>
          </w:tcPr>
          <w:p w14:paraId="3D753D4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67.7%</w:t>
            </w:r>
          </w:p>
        </w:tc>
        <w:tc>
          <w:tcPr>
            <w:tcW w:w="566" w:type="pct"/>
            <w:tcBorders>
              <w:top w:val="nil"/>
              <w:left w:val="nil"/>
              <w:bottom w:val="single" w:sz="4" w:space="0" w:color="auto"/>
              <w:right w:val="single" w:sz="4" w:space="0" w:color="auto"/>
            </w:tcBorders>
            <w:shd w:val="clear" w:color="auto" w:fill="auto"/>
            <w:noWrap/>
            <w:vAlign w:val="center"/>
            <w:hideMark/>
          </w:tcPr>
          <w:p w14:paraId="55BDE201"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3.2%</w:t>
            </w:r>
          </w:p>
        </w:tc>
      </w:tr>
      <w:tr w:rsidR="008F5E07" w:rsidRPr="00777102" w14:paraId="11FE8200"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7E89F9D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African American</w:t>
            </w:r>
          </w:p>
        </w:tc>
        <w:tc>
          <w:tcPr>
            <w:tcW w:w="544" w:type="pct"/>
            <w:tcBorders>
              <w:top w:val="nil"/>
              <w:left w:val="nil"/>
              <w:bottom w:val="single" w:sz="4" w:space="0" w:color="auto"/>
              <w:right w:val="single" w:sz="4" w:space="0" w:color="auto"/>
            </w:tcBorders>
            <w:shd w:val="clear" w:color="auto" w:fill="auto"/>
            <w:noWrap/>
            <w:vAlign w:val="center"/>
            <w:hideMark/>
          </w:tcPr>
          <w:p w14:paraId="0E43B25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26.7%</w:t>
            </w:r>
          </w:p>
        </w:tc>
        <w:tc>
          <w:tcPr>
            <w:tcW w:w="599" w:type="pct"/>
            <w:tcBorders>
              <w:top w:val="nil"/>
              <w:left w:val="nil"/>
              <w:bottom w:val="single" w:sz="4" w:space="0" w:color="auto"/>
              <w:right w:val="single" w:sz="4" w:space="0" w:color="auto"/>
            </w:tcBorders>
            <w:shd w:val="clear" w:color="auto" w:fill="auto"/>
            <w:noWrap/>
            <w:vAlign w:val="center"/>
            <w:hideMark/>
          </w:tcPr>
          <w:p w14:paraId="561E3EE0"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63.3%</w:t>
            </w:r>
          </w:p>
        </w:tc>
        <w:tc>
          <w:tcPr>
            <w:tcW w:w="575" w:type="pct"/>
            <w:tcBorders>
              <w:top w:val="nil"/>
              <w:left w:val="nil"/>
              <w:bottom w:val="single" w:sz="4" w:space="0" w:color="auto"/>
              <w:right w:val="single" w:sz="4" w:space="0" w:color="auto"/>
            </w:tcBorders>
            <w:shd w:val="clear" w:color="auto" w:fill="auto"/>
            <w:noWrap/>
            <w:vAlign w:val="center"/>
            <w:hideMark/>
          </w:tcPr>
          <w:p w14:paraId="615EEDD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3.7%</w:t>
            </w:r>
          </w:p>
        </w:tc>
        <w:tc>
          <w:tcPr>
            <w:tcW w:w="555" w:type="pct"/>
            <w:tcBorders>
              <w:top w:val="nil"/>
              <w:left w:val="nil"/>
              <w:bottom w:val="single" w:sz="4" w:space="0" w:color="auto"/>
              <w:right w:val="single" w:sz="4" w:space="0" w:color="auto"/>
            </w:tcBorders>
            <w:shd w:val="clear" w:color="auto" w:fill="auto"/>
            <w:noWrap/>
            <w:vAlign w:val="center"/>
            <w:hideMark/>
          </w:tcPr>
          <w:p w14:paraId="11D7427A"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19.5%</w:t>
            </w:r>
          </w:p>
        </w:tc>
        <w:tc>
          <w:tcPr>
            <w:tcW w:w="651" w:type="pct"/>
            <w:tcBorders>
              <w:top w:val="nil"/>
              <w:left w:val="nil"/>
              <w:bottom w:val="single" w:sz="4" w:space="0" w:color="auto"/>
              <w:right w:val="single" w:sz="4" w:space="0" w:color="auto"/>
            </w:tcBorders>
            <w:shd w:val="clear" w:color="auto" w:fill="auto"/>
            <w:noWrap/>
            <w:vAlign w:val="center"/>
            <w:hideMark/>
          </w:tcPr>
          <w:p w14:paraId="0A1DEEFB"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59.8%</w:t>
            </w:r>
          </w:p>
        </w:tc>
        <w:tc>
          <w:tcPr>
            <w:tcW w:w="566" w:type="pct"/>
            <w:tcBorders>
              <w:top w:val="nil"/>
              <w:left w:val="nil"/>
              <w:bottom w:val="single" w:sz="4" w:space="0" w:color="auto"/>
              <w:right w:val="single" w:sz="4" w:space="0" w:color="auto"/>
            </w:tcBorders>
            <w:shd w:val="clear" w:color="auto" w:fill="auto"/>
            <w:noWrap/>
            <w:vAlign w:val="center"/>
            <w:hideMark/>
          </w:tcPr>
          <w:p w14:paraId="3965D08D"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4.0%</w:t>
            </w:r>
          </w:p>
        </w:tc>
      </w:tr>
      <w:tr w:rsidR="008F5E07" w:rsidRPr="00777102" w14:paraId="4C8F943F"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6BCDE621"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Alaska Native/American Indian</w:t>
            </w:r>
          </w:p>
        </w:tc>
        <w:tc>
          <w:tcPr>
            <w:tcW w:w="544" w:type="pct"/>
            <w:tcBorders>
              <w:top w:val="nil"/>
              <w:left w:val="nil"/>
              <w:bottom w:val="single" w:sz="4" w:space="0" w:color="auto"/>
              <w:right w:val="single" w:sz="4" w:space="0" w:color="auto"/>
            </w:tcBorders>
            <w:shd w:val="clear" w:color="auto" w:fill="auto"/>
            <w:noWrap/>
            <w:vAlign w:val="center"/>
            <w:hideMark/>
          </w:tcPr>
          <w:p w14:paraId="55027FAA"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16.4%</w:t>
            </w:r>
          </w:p>
        </w:tc>
        <w:tc>
          <w:tcPr>
            <w:tcW w:w="599" w:type="pct"/>
            <w:tcBorders>
              <w:top w:val="nil"/>
              <w:left w:val="nil"/>
              <w:bottom w:val="single" w:sz="4" w:space="0" w:color="auto"/>
              <w:right w:val="single" w:sz="4" w:space="0" w:color="auto"/>
            </w:tcBorders>
            <w:shd w:val="clear" w:color="auto" w:fill="auto"/>
            <w:noWrap/>
            <w:vAlign w:val="center"/>
            <w:hideMark/>
          </w:tcPr>
          <w:p w14:paraId="5BE88A60"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58.2%</w:t>
            </w:r>
          </w:p>
        </w:tc>
        <w:tc>
          <w:tcPr>
            <w:tcW w:w="575" w:type="pct"/>
            <w:tcBorders>
              <w:top w:val="nil"/>
              <w:left w:val="nil"/>
              <w:bottom w:val="single" w:sz="4" w:space="0" w:color="auto"/>
              <w:right w:val="single" w:sz="4" w:space="0" w:color="auto"/>
            </w:tcBorders>
            <w:shd w:val="clear" w:color="auto" w:fill="auto"/>
            <w:noWrap/>
            <w:vAlign w:val="center"/>
            <w:hideMark/>
          </w:tcPr>
          <w:p w14:paraId="03117B1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4.2%</w:t>
            </w:r>
          </w:p>
        </w:tc>
        <w:tc>
          <w:tcPr>
            <w:tcW w:w="555" w:type="pct"/>
            <w:tcBorders>
              <w:top w:val="nil"/>
              <w:left w:val="nil"/>
              <w:bottom w:val="single" w:sz="4" w:space="0" w:color="auto"/>
              <w:right w:val="single" w:sz="4" w:space="0" w:color="auto"/>
            </w:tcBorders>
            <w:shd w:val="clear" w:color="auto" w:fill="auto"/>
            <w:noWrap/>
            <w:vAlign w:val="center"/>
            <w:hideMark/>
          </w:tcPr>
          <w:p w14:paraId="50ACD32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15.8%</w:t>
            </w:r>
          </w:p>
        </w:tc>
        <w:tc>
          <w:tcPr>
            <w:tcW w:w="651" w:type="pct"/>
            <w:tcBorders>
              <w:top w:val="nil"/>
              <w:left w:val="nil"/>
              <w:bottom w:val="single" w:sz="4" w:space="0" w:color="auto"/>
              <w:right w:val="single" w:sz="4" w:space="0" w:color="auto"/>
            </w:tcBorders>
            <w:shd w:val="clear" w:color="auto" w:fill="auto"/>
            <w:noWrap/>
            <w:vAlign w:val="center"/>
            <w:hideMark/>
          </w:tcPr>
          <w:p w14:paraId="112CCA20"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57.9%</w:t>
            </w:r>
          </w:p>
        </w:tc>
        <w:tc>
          <w:tcPr>
            <w:tcW w:w="566" w:type="pct"/>
            <w:tcBorders>
              <w:top w:val="nil"/>
              <w:left w:val="nil"/>
              <w:bottom w:val="single" w:sz="4" w:space="0" w:color="auto"/>
              <w:right w:val="single" w:sz="4" w:space="0" w:color="auto"/>
            </w:tcBorders>
            <w:shd w:val="clear" w:color="auto" w:fill="auto"/>
            <w:noWrap/>
            <w:vAlign w:val="center"/>
            <w:hideMark/>
          </w:tcPr>
          <w:p w14:paraId="7E52E106"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4.2%</w:t>
            </w:r>
          </w:p>
        </w:tc>
      </w:tr>
      <w:tr w:rsidR="008F5E07" w:rsidRPr="00777102" w14:paraId="06820745"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3B371279"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Asian/Pacific Islander</w:t>
            </w:r>
          </w:p>
        </w:tc>
        <w:tc>
          <w:tcPr>
            <w:tcW w:w="544" w:type="pct"/>
            <w:tcBorders>
              <w:top w:val="nil"/>
              <w:left w:val="nil"/>
              <w:bottom w:val="single" w:sz="4" w:space="0" w:color="auto"/>
              <w:right w:val="single" w:sz="4" w:space="0" w:color="auto"/>
            </w:tcBorders>
            <w:shd w:val="clear" w:color="auto" w:fill="auto"/>
            <w:noWrap/>
            <w:vAlign w:val="center"/>
            <w:hideMark/>
          </w:tcPr>
          <w:p w14:paraId="4ACC80C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30.2%</w:t>
            </w:r>
          </w:p>
        </w:tc>
        <w:tc>
          <w:tcPr>
            <w:tcW w:w="599" w:type="pct"/>
            <w:tcBorders>
              <w:top w:val="nil"/>
              <w:left w:val="nil"/>
              <w:bottom w:val="single" w:sz="4" w:space="0" w:color="auto"/>
              <w:right w:val="single" w:sz="4" w:space="0" w:color="auto"/>
            </w:tcBorders>
            <w:shd w:val="clear" w:color="auto" w:fill="auto"/>
            <w:noWrap/>
            <w:vAlign w:val="center"/>
            <w:hideMark/>
          </w:tcPr>
          <w:p w14:paraId="22751D7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65.1%</w:t>
            </w:r>
          </w:p>
        </w:tc>
        <w:tc>
          <w:tcPr>
            <w:tcW w:w="575" w:type="pct"/>
            <w:tcBorders>
              <w:top w:val="nil"/>
              <w:left w:val="nil"/>
              <w:bottom w:val="single" w:sz="4" w:space="0" w:color="auto"/>
              <w:right w:val="single" w:sz="4" w:space="0" w:color="auto"/>
            </w:tcBorders>
            <w:shd w:val="clear" w:color="auto" w:fill="auto"/>
            <w:noWrap/>
            <w:vAlign w:val="center"/>
            <w:hideMark/>
          </w:tcPr>
          <w:p w14:paraId="01F77F60"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3.5%</w:t>
            </w:r>
          </w:p>
        </w:tc>
        <w:tc>
          <w:tcPr>
            <w:tcW w:w="555" w:type="pct"/>
            <w:tcBorders>
              <w:top w:val="nil"/>
              <w:left w:val="nil"/>
              <w:bottom w:val="single" w:sz="4" w:space="0" w:color="auto"/>
              <w:right w:val="single" w:sz="4" w:space="0" w:color="auto"/>
            </w:tcBorders>
            <w:shd w:val="clear" w:color="auto" w:fill="auto"/>
            <w:noWrap/>
            <w:vAlign w:val="center"/>
            <w:hideMark/>
          </w:tcPr>
          <w:p w14:paraId="0EDE3B01"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29.1%</w:t>
            </w:r>
          </w:p>
        </w:tc>
        <w:tc>
          <w:tcPr>
            <w:tcW w:w="651" w:type="pct"/>
            <w:tcBorders>
              <w:top w:val="nil"/>
              <w:left w:val="nil"/>
              <w:bottom w:val="single" w:sz="4" w:space="0" w:color="auto"/>
              <w:right w:val="single" w:sz="4" w:space="0" w:color="auto"/>
            </w:tcBorders>
            <w:shd w:val="clear" w:color="auto" w:fill="auto"/>
            <w:noWrap/>
            <w:vAlign w:val="center"/>
            <w:hideMark/>
          </w:tcPr>
          <w:p w14:paraId="7E8A4085"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64.5%</w:t>
            </w:r>
          </w:p>
        </w:tc>
        <w:tc>
          <w:tcPr>
            <w:tcW w:w="566" w:type="pct"/>
            <w:tcBorders>
              <w:top w:val="nil"/>
              <w:left w:val="nil"/>
              <w:bottom w:val="single" w:sz="4" w:space="0" w:color="auto"/>
              <w:right w:val="single" w:sz="4" w:space="0" w:color="auto"/>
            </w:tcBorders>
            <w:shd w:val="clear" w:color="auto" w:fill="auto"/>
            <w:noWrap/>
            <w:vAlign w:val="center"/>
            <w:hideMark/>
          </w:tcPr>
          <w:p w14:paraId="18DA372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3.5%</w:t>
            </w:r>
          </w:p>
        </w:tc>
      </w:tr>
      <w:tr w:rsidR="008F5E07" w:rsidRPr="00777102" w14:paraId="2933A9E3"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455D9578"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Caucasian</w:t>
            </w:r>
          </w:p>
        </w:tc>
        <w:tc>
          <w:tcPr>
            <w:tcW w:w="544" w:type="pct"/>
            <w:tcBorders>
              <w:top w:val="nil"/>
              <w:left w:val="nil"/>
              <w:bottom w:val="single" w:sz="4" w:space="0" w:color="auto"/>
              <w:right w:val="single" w:sz="4" w:space="0" w:color="auto"/>
            </w:tcBorders>
            <w:shd w:val="clear" w:color="auto" w:fill="auto"/>
            <w:noWrap/>
            <w:vAlign w:val="center"/>
            <w:hideMark/>
          </w:tcPr>
          <w:p w14:paraId="323BE74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54.0%</w:t>
            </w:r>
          </w:p>
        </w:tc>
        <w:tc>
          <w:tcPr>
            <w:tcW w:w="599" w:type="pct"/>
            <w:tcBorders>
              <w:top w:val="nil"/>
              <w:left w:val="nil"/>
              <w:bottom w:val="single" w:sz="4" w:space="0" w:color="auto"/>
              <w:right w:val="single" w:sz="4" w:space="0" w:color="auto"/>
            </w:tcBorders>
            <w:shd w:val="clear" w:color="auto" w:fill="auto"/>
            <w:noWrap/>
            <w:vAlign w:val="center"/>
            <w:hideMark/>
          </w:tcPr>
          <w:p w14:paraId="3F252C1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77.0%</w:t>
            </w:r>
          </w:p>
        </w:tc>
        <w:tc>
          <w:tcPr>
            <w:tcW w:w="575" w:type="pct"/>
            <w:tcBorders>
              <w:top w:val="nil"/>
              <w:left w:val="nil"/>
              <w:bottom w:val="single" w:sz="4" w:space="0" w:color="auto"/>
              <w:right w:val="single" w:sz="4" w:space="0" w:color="auto"/>
            </w:tcBorders>
            <w:shd w:val="clear" w:color="auto" w:fill="auto"/>
            <w:noWrap/>
            <w:vAlign w:val="center"/>
            <w:hideMark/>
          </w:tcPr>
          <w:p w14:paraId="101A6F1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2.3%</w:t>
            </w:r>
          </w:p>
        </w:tc>
        <w:tc>
          <w:tcPr>
            <w:tcW w:w="555" w:type="pct"/>
            <w:tcBorders>
              <w:top w:val="nil"/>
              <w:left w:val="nil"/>
              <w:bottom w:val="single" w:sz="4" w:space="0" w:color="auto"/>
              <w:right w:val="single" w:sz="4" w:space="0" w:color="auto"/>
            </w:tcBorders>
            <w:shd w:val="clear" w:color="auto" w:fill="auto"/>
            <w:noWrap/>
            <w:vAlign w:val="center"/>
            <w:hideMark/>
          </w:tcPr>
          <w:p w14:paraId="61257AC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47.6%</w:t>
            </w:r>
          </w:p>
        </w:tc>
        <w:tc>
          <w:tcPr>
            <w:tcW w:w="651" w:type="pct"/>
            <w:tcBorders>
              <w:top w:val="nil"/>
              <w:left w:val="nil"/>
              <w:bottom w:val="single" w:sz="4" w:space="0" w:color="auto"/>
              <w:right w:val="single" w:sz="4" w:space="0" w:color="auto"/>
            </w:tcBorders>
            <w:shd w:val="clear" w:color="auto" w:fill="auto"/>
            <w:noWrap/>
            <w:vAlign w:val="center"/>
            <w:hideMark/>
          </w:tcPr>
          <w:p w14:paraId="75E537C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73.8%</w:t>
            </w:r>
          </w:p>
        </w:tc>
        <w:tc>
          <w:tcPr>
            <w:tcW w:w="566" w:type="pct"/>
            <w:tcBorders>
              <w:top w:val="nil"/>
              <w:left w:val="nil"/>
              <w:bottom w:val="single" w:sz="4" w:space="0" w:color="auto"/>
              <w:right w:val="single" w:sz="4" w:space="0" w:color="auto"/>
            </w:tcBorders>
            <w:shd w:val="clear" w:color="auto" w:fill="auto"/>
            <w:noWrap/>
            <w:vAlign w:val="center"/>
            <w:hideMark/>
          </w:tcPr>
          <w:p w14:paraId="7599D2AA"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2.6%</w:t>
            </w:r>
          </w:p>
        </w:tc>
      </w:tr>
      <w:tr w:rsidR="008F5E07" w:rsidRPr="00777102" w14:paraId="10C20BAB"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3E09331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Hispanic</w:t>
            </w:r>
          </w:p>
        </w:tc>
        <w:tc>
          <w:tcPr>
            <w:tcW w:w="544" w:type="pct"/>
            <w:tcBorders>
              <w:top w:val="nil"/>
              <w:left w:val="nil"/>
              <w:bottom w:val="single" w:sz="4" w:space="0" w:color="auto"/>
              <w:right w:val="single" w:sz="4" w:space="0" w:color="auto"/>
            </w:tcBorders>
            <w:shd w:val="clear" w:color="auto" w:fill="auto"/>
            <w:noWrap/>
            <w:vAlign w:val="center"/>
            <w:hideMark/>
          </w:tcPr>
          <w:p w14:paraId="01FAF4F2"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35.4%</w:t>
            </w:r>
          </w:p>
        </w:tc>
        <w:tc>
          <w:tcPr>
            <w:tcW w:w="599" w:type="pct"/>
            <w:tcBorders>
              <w:top w:val="nil"/>
              <w:left w:val="nil"/>
              <w:bottom w:val="single" w:sz="4" w:space="0" w:color="auto"/>
              <w:right w:val="single" w:sz="4" w:space="0" w:color="auto"/>
            </w:tcBorders>
            <w:shd w:val="clear" w:color="auto" w:fill="auto"/>
            <w:noWrap/>
            <w:vAlign w:val="center"/>
            <w:hideMark/>
          </w:tcPr>
          <w:p w14:paraId="1393A2B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67.7%</w:t>
            </w:r>
          </w:p>
        </w:tc>
        <w:tc>
          <w:tcPr>
            <w:tcW w:w="575" w:type="pct"/>
            <w:tcBorders>
              <w:top w:val="nil"/>
              <w:left w:val="nil"/>
              <w:bottom w:val="single" w:sz="4" w:space="0" w:color="auto"/>
              <w:right w:val="single" w:sz="4" w:space="0" w:color="auto"/>
            </w:tcBorders>
            <w:shd w:val="clear" w:color="auto" w:fill="auto"/>
            <w:noWrap/>
            <w:vAlign w:val="center"/>
            <w:hideMark/>
          </w:tcPr>
          <w:p w14:paraId="21D6D055"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3.2%</w:t>
            </w:r>
          </w:p>
        </w:tc>
        <w:tc>
          <w:tcPr>
            <w:tcW w:w="555" w:type="pct"/>
            <w:tcBorders>
              <w:top w:val="nil"/>
              <w:left w:val="nil"/>
              <w:bottom w:val="single" w:sz="4" w:space="0" w:color="auto"/>
              <w:right w:val="single" w:sz="4" w:space="0" w:color="auto"/>
            </w:tcBorders>
            <w:shd w:val="clear" w:color="auto" w:fill="auto"/>
            <w:noWrap/>
            <w:vAlign w:val="center"/>
            <w:hideMark/>
          </w:tcPr>
          <w:p w14:paraId="490302AD"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31.0%</w:t>
            </w:r>
          </w:p>
        </w:tc>
        <w:tc>
          <w:tcPr>
            <w:tcW w:w="651" w:type="pct"/>
            <w:tcBorders>
              <w:top w:val="nil"/>
              <w:left w:val="nil"/>
              <w:bottom w:val="single" w:sz="4" w:space="0" w:color="auto"/>
              <w:right w:val="single" w:sz="4" w:space="0" w:color="auto"/>
            </w:tcBorders>
            <w:shd w:val="clear" w:color="auto" w:fill="auto"/>
            <w:noWrap/>
            <w:vAlign w:val="center"/>
            <w:hideMark/>
          </w:tcPr>
          <w:p w14:paraId="138A90B9"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65.5%</w:t>
            </w:r>
          </w:p>
        </w:tc>
        <w:tc>
          <w:tcPr>
            <w:tcW w:w="566" w:type="pct"/>
            <w:tcBorders>
              <w:top w:val="nil"/>
              <w:left w:val="nil"/>
              <w:bottom w:val="single" w:sz="4" w:space="0" w:color="auto"/>
              <w:right w:val="single" w:sz="4" w:space="0" w:color="auto"/>
            </w:tcBorders>
            <w:shd w:val="clear" w:color="auto" w:fill="auto"/>
            <w:noWrap/>
            <w:vAlign w:val="center"/>
            <w:hideMark/>
          </w:tcPr>
          <w:p w14:paraId="45DED5E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3.5%</w:t>
            </w:r>
          </w:p>
        </w:tc>
      </w:tr>
      <w:tr w:rsidR="008F5E07" w:rsidRPr="00777102" w14:paraId="1E6BCD40"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7F464A6D"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Two or More Races</w:t>
            </w:r>
          </w:p>
        </w:tc>
        <w:tc>
          <w:tcPr>
            <w:tcW w:w="544" w:type="pct"/>
            <w:tcBorders>
              <w:top w:val="nil"/>
              <w:left w:val="nil"/>
              <w:bottom w:val="single" w:sz="4" w:space="0" w:color="auto"/>
              <w:right w:val="single" w:sz="4" w:space="0" w:color="auto"/>
            </w:tcBorders>
            <w:shd w:val="clear" w:color="auto" w:fill="auto"/>
            <w:noWrap/>
            <w:vAlign w:val="center"/>
            <w:hideMark/>
          </w:tcPr>
          <w:p w14:paraId="46A2375A"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39.2%</w:t>
            </w:r>
          </w:p>
        </w:tc>
        <w:tc>
          <w:tcPr>
            <w:tcW w:w="599" w:type="pct"/>
            <w:tcBorders>
              <w:top w:val="nil"/>
              <w:left w:val="nil"/>
              <w:bottom w:val="single" w:sz="4" w:space="0" w:color="auto"/>
              <w:right w:val="single" w:sz="4" w:space="0" w:color="auto"/>
            </w:tcBorders>
            <w:shd w:val="clear" w:color="auto" w:fill="auto"/>
            <w:noWrap/>
            <w:vAlign w:val="center"/>
            <w:hideMark/>
          </w:tcPr>
          <w:p w14:paraId="583245FF"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69.6%</w:t>
            </w:r>
          </w:p>
        </w:tc>
        <w:tc>
          <w:tcPr>
            <w:tcW w:w="575" w:type="pct"/>
            <w:tcBorders>
              <w:top w:val="nil"/>
              <w:left w:val="nil"/>
              <w:bottom w:val="single" w:sz="4" w:space="0" w:color="auto"/>
              <w:right w:val="single" w:sz="4" w:space="0" w:color="auto"/>
            </w:tcBorders>
            <w:shd w:val="clear" w:color="auto" w:fill="auto"/>
            <w:noWrap/>
            <w:vAlign w:val="center"/>
            <w:hideMark/>
          </w:tcPr>
          <w:p w14:paraId="1BB41A5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3.0%</w:t>
            </w:r>
          </w:p>
        </w:tc>
        <w:tc>
          <w:tcPr>
            <w:tcW w:w="555" w:type="pct"/>
            <w:tcBorders>
              <w:top w:val="nil"/>
              <w:left w:val="nil"/>
              <w:bottom w:val="single" w:sz="4" w:space="0" w:color="auto"/>
              <w:right w:val="single" w:sz="4" w:space="0" w:color="auto"/>
            </w:tcBorders>
            <w:shd w:val="clear" w:color="auto" w:fill="auto"/>
            <w:noWrap/>
            <w:vAlign w:val="center"/>
            <w:hideMark/>
          </w:tcPr>
          <w:p w14:paraId="6764034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37.1%</w:t>
            </w:r>
          </w:p>
        </w:tc>
        <w:tc>
          <w:tcPr>
            <w:tcW w:w="651" w:type="pct"/>
            <w:tcBorders>
              <w:top w:val="nil"/>
              <w:left w:val="nil"/>
              <w:bottom w:val="single" w:sz="4" w:space="0" w:color="auto"/>
              <w:right w:val="single" w:sz="4" w:space="0" w:color="auto"/>
            </w:tcBorders>
            <w:shd w:val="clear" w:color="auto" w:fill="auto"/>
            <w:noWrap/>
            <w:vAlign w:val="center"/>
            <w:hideMark/>
          </w:tcPr>
          <w:p w14:paraId="02DE9C0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68.5%</w:t>
            </w:r>
          </w:p>
        </w:tc>
        <w:tc>
          <w:tcPr>
            <w:tcW w:w="566" w:type="pct"/>
            <w:tcBorders>
              <w:top w:val="nil"/>
              <w:left w:val="nil"/>
              <w:bottom w:val="single" w:sz="4" w:space="0" w:color="auto"/>
              <w:right w:val="single" w:sz="4" w:space="0" w:color="auto"/>
            </w:tcBorders>
            <w:shd w:val="clear" w:color="auto" w:fill="auto"/>
            <w:noWrap/>
            <w:vAlign w:val="center"/>
            <w:hideMark/>
          </w:tcPr>
          <w:p w14:paraId="31156FB9"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3.1%</w:t>
            </w:r>
          </w:p>
        </w:tc>
      </w:tr>
      <w:tr w:rsidR="008F5E07" w:rsidRPr="00777102" w14:paraId="0BDBE94A"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28ADCDD8"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Students with Disabilities</w:t>
            </w:r>
          </w:p>
        </w:tc>
        <w:tc>
          <w:tcPr>
            <w:tcW w:w="544" w:type="pct"/>
            <w:tcBorders>
              <w:top w:val="nil"/>
              <w:left w:val="nil"/>
              <w:bottom w:val="single" w:sz="4" w:space="0" w:color="auto"/>
              <w:right w:val="single" w:sz="4" w:space="0" w:color="auto"/>
            </w:tcBorders>
            <w:shd w:val="clear" w:color="auto" w:fill="auto"/>
            <w:noWrap/>
            <w:vAlign w:val="center"/>
            <w:hideMark/>
          </w:tcPr>
          <w:p w14:paraId="2EBE96C9"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11.3%</w:t>
            </w:r>
          </w:p>
        </w:tc>
        <w:tc>
          <w:tcPr>
            <w:tcW w:w="599" w:type="pct"/>
            <w:tcBorders>
              <w:top w:val="nil"/>
              <w:left w:val="nil"/>
              <w:bottom w:val="single" w:sz="4" w:space="0" w:color="auto"/>
              <w:right w:val="single" w:sz="4" w:space="0" w:color="auto"/>
            </w:tcBorders>
            <w:shd w:val="clear" w:color="auto" w:fill="auto"/>
            <w:noWrap/>
            <w:vAlign w:val="center"/>
            <w:hideMark/>
          </w:tcPr>
          <w:p w14:paraId="60AB632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55.7%</w:t>
            </w:r>
          </w:p>
        </w:tc>
        <w:tc>
          <w:tcPr>
            <w:tcW w:w="575" w:type="pct"/>
            <w:tcBorders>
              <w:top w:val="nil"/>
              <w:left w:val="nil"/>
              <w:bottom w:val="single" w:sz="4" w:space="0" w:color="auto"/>
              <w:right w:val="single" w:sz="4" w:space="0" w:color="auto"/>
            </w:tcBorders>
            <w:shd w:val="clear" w:color="auto" w:fill="auto"/>
            <w:noWrap/>
            <w:vAlign w:val="center"/>
            <w:hideMark/>
          </w:tcPr>
          <w:p w14:paraId="2A07A99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4.4%</w:t>
            </w:r>
          </w:p>
        </w:tc>
        <w:tc>
          <w:tcPr>
            <w:tcW w:w="555" w:type="pct"/>
            <w:tcBorders>
              <w:top w:val="nil"/>
              <w:left w:val="nil"/>
              <w:bottom w:val="single" w:sz="4" w:space="0" w:color="auto"/>
              <w:right w:val="single" w:sz="4" w:space="0" w:color="auto"/>
            </w:tcBorders>
            <w:shd w:val="clear" w:color="auto" w:fill="auto"/>
            <w:noWrap/>
            <w:vAlign w:val="center"/>
            <w:hideMark/>
          </w:tcPr>
          <w:p w14:paraId="0302825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10.2%</w:t>
            </w:r>
          </w:p>
        </w:tc>
        <w:tc>
          <w:tcPr>
            <w:tcW w:w="651" w:type="pct"/>
            <w:tcBorders>
              <w:top w:val="nil"/>
              <w:left w:val="nil"/>
              <w:bottom w:val="single" w:sz="4" w:space="0" w:color="auto"/>
              <w:right w:val="single" w:sz="4" w:space="0" w:color="auto"/>
            </w:tcBorders>
            <w:shd w:val="clear" w:color="auto" w:fill="auto"/>
            <w:noWrap/>
            <w:vAlign w:val="center"/>
            <w:hideMark/>
          </w:tcPr>
          <w:p w14:paraId="1250089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55.1%</w:t>
            </w:r>
          </w:p>
        </w:tc>
        <w:tc>
          <w:tcPr>
            <w:tcW w:w="566" w:type="pct"/>
            <w:tcBorders>
              <w:top w:val="nil"/>
              <w:left w:val="nil"/>
              <w:bottom w:val="single" w:sz="4" w:space="0" w:color="auto"/>
              <w:right w:val="single" w:sz="4" w:space="0" w:color="auto"/>
            </w:tcBorders>
            <w:shd w:val="clear" w:color="auto" w:fill="auto"/>
            <w:noWrap/>
            <w:vAlign w:val="center"/>
            <w:hideMark/>
          </w:tcPr>
          <w:p w14:paraId="23659A44"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4.5%</w:t>
            </w:r>
          </w:p>
        </w:tc>
      </w:tr>
      <w:tr w:rsidR="008F5E07" w:rsidRPr="00777102" w14:paraId="332B052C"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0E917368"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English Learners</w:t>
            </w:r>
          </w:p>
        </w:tc>
        <w:tc>
          <w:tcPr>
            <w:tcW w:w="544" w:type="pct"/>
            <w:tcBorders>
              <w:top w:val="nil"/>
              <w:left w:val="nil"/>
              <w:bottom w:val="single" w:sz="4" w:space="0" w:color="auto"/>
              <w:right w:val="single" w:sz="4" w:space="0" w:color="auto"/>
            </w:tcBorders>
            <w:shd w:val="clear" w:color="auto" w:fill="auto"/>
            <w:noWrap/>
            <w:vAlign w:val="center"/>
            <w:hideMark/>
          </w:tcPr>
          <w:p w14:paraId="7D05271B"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5.1%</w:t>
            </w:r>
          </w:p>
        </w:tc>
        <w:tc>
          <w:tcPr>
            <w:tcW w:w="599" w:type="pct"/>
            <w:tcBorders>
              <w:top w:val="nil"/>
              <w:left w:val="nil"/>
              <w:bottom w:val="single" w:sz="4" w:space="0" w:color="auto"/>
              <w:right w:val="single" w:sz="4" w:space="0" w:color="auto"/>
            </w:tcBorders>
            <w:shd w:val="clear" w:color="auto" w:fill="auto"/>
            <w:noWrap/>
            <w:vAlign w:val="center"/>
            <w:hideMark/>
          </w:tcPr>
          <w:p w14:paraId="49BA3E34"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52.5%</w:t>
            </w:r>
          </w:p>
        </w:tc>
        <w:tc>
          <w:tcPr>
            <w:tcW w:w="575" w:type="pct"/>
            <w:tcBorders>
              <w:top w:val="nil"/>
              <w:left w:val="nil"/>
              <w:bottom w:val="single" w:sz="4" w:space="0" w:color="auto"/>
              <w:right w:val="single" w:sz="4" w:space="0" w:color="auto"/>
            </w:tcBorders>
            <w:shd w:val="clear" w:color="auto" w:fill="auto"/>
            <w:noWrap/>
            <w:vAlign w:val="center"/>
            <w:hideMark/>
          </w:tcPr>
          <w:p w14:paraId="08F1336D"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4.7%</w:t>
            </w:r>
          </w:p>
        </w:tc>
        <w:tc>
          <w:tcPr>
            <w:tcW w:w="555" w:type="pct"/>
            <w:tcBorders>
              <w:top w:val="nil"/>
              <w:left w:val="nil"/>
              <w:bottom w:val="single" w:sz="4" w:space="0" w:color="auto"/>
              <w:right w:val="single" w:sz="4" w:space="0" w:color="auto"/>
            </w:tcBorders>
            <w:shd w:val="clear" w:color="auto" w:fill="auto"/>
            <w:noWrap/>
            <w:vAlign w:val="center"/>
            <w:hideMark/>
          </w:tcPr>
          <w:p w14:paraId="284E8A9B"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8.4%</w:t>
            </w:r>
          </w:p>
        </w:tc>
        <w:tc>
          <w:tcPr>
            <w:tcW w:w="651" w:type="pct"/>
            <w:tcBorders>
              <w:top w:val="nil"/>
              <w:left w:val="nil"/>
              <w:bottom w:val="single" w:sz="4" w:space="0" w:color="auto"/>
              <w:right w:val="single" w:sz="4" w:space="0" w:color="auto"/>
            </w:tcBorders>
            <w:shd w:val="clear" w:color="auto" w:fill="auto"/>
            <w:noWrap/>
            <w:vAlign w:val="center"/>
            <w:hideMark/>
          </w:tcPr>
          <w:p w14:paraId="6828240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54.2%</w:t>
            </w:r>
          </w:p>
        </w:tc>
        <w:tc>
          <w:tcPr>
            <w:tcW w:w="566" w:type="pct"/>
            <w:tcBorders>
              <w:top w:val="nil"/>
              <w:left w:val="nil"/>
              <w:bottom w:val="single" w:sz="4" w:space="0" w:color="auto"/>
              <w:right w:val="single" w:sz="4" w:space="0" w:color="auto"/>
            </w:tcBorders>
            <w:shd w:val="clear" w:color="auto" w:fill="auto"/>
            <w:noWrap/>
            <w:vAlign w:val="center"/>
            <w:hideMark/>
          </w:tcPr>
          <w:p w14:paraId="66FA80C5"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4.6%</w:t>
            </w:r>
          </w:p>
        </w:tc>
      </w:tr>
      <w:tr w:rsidR="008F5E07" w:rsidRPr="00777102" w14:paraId="028D85F1" w14:textId="77777777" w:rsidTr="008F5E07">
        <w:trPr>
          <w:trHeight w:val="300"/>
        </w:trPr>
        <w:tc>
          <w:tcPr>
            <w:tcW w:w="1511" w:type="pct"/>
            <w:tcBorders>
              <w:top w:val="nil"/>
              <w:left w:val="single" w:sz="4" w:space="0" w:color="auto"/>
              <w:bottom w:val="single" w:sz="4" w:space="0" w:color="auto"/>
              <w:right w:val="single" w:sz="4" w:space="0" w:color="auto"/>
            </w:tcBorders>
            <w:shd w:val="clear" w:color="auto" w:fill="auto"/>
            <w:noWrap/>
            <w:vAlign w:val="center"/>
            <w:hideMark/>
          </w:tcPr>
          <w:p w14:paraId="14722947"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Economically Disadvantaged</w:t>
            </w:r>
          </w:p>
        </w:tc>
        <w:tc>
          <w:tcPr>
            <w:tcW w:w="544" w:type="pct"/>
            <w:tcBorders>
              <w:top w:val="nil"/>
              <w:left w:val="nil"/>
              <w:bottom w:val="single" w:sz="4" w:space="0" w:color="auto"/>
              <w:right w:val="single" w:sz="4" w:space="0" w:color="auto"/>
            </w:tcBorders>
            <w:shd w:val="clear" w:color="auto" w:fill="auto"/>
            <w:noWrap/>
            <w:vAlign w:val="center"/>
            <w:hideMark/>
          </w:tcPr>
          <w:p w14:paraId="7AA6366C"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25.6%</w:t>
            </w:r>
          </w:p>
        </w:tc>
        <w:tc>
          <w:tcPr>
            <w:tcW w:w="599" w:type="pct"/>
            <w:tcBorders>
              <w:top w:val="nil"/>
              <w:left w:val="nil"/>
              <w:bottom w:val="single" w:sz="4" w:space="0" w:color="auto"/>
              <w:right w:val="single" w:sz="4" w:space="0" w:color="auto"/>
            </w:tcBorders>
            <w:shd w:val="clear" w:color="auto" w:fill="auto"/>
            <w:noWrap/>
            <w:vAlign w:val="center"/>
            <w:hideMark/>
          </w:tcPr>
          <w:p w14:paraId="5582BED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62.8%</w:t>
            </w:r>
          </w:p>
        </w:tc>
        <w:tc>
          <w:tcPr>
            <w:tcW w:w="575" w:type="pct"/>
            <w:tcBorders>
              <w:top w:val="nil"/>
              <w:left w:val="nil"/>
              <w:bottom w:val="single" w:sz="4" w:space="0" w:color="auto"/>
              <w:right w:val="single" w:sz="4" w:space="0" w:color="auto"/>
            </w:tcBorders>
            <w:shd w:val="clear" w:color="auto" w:fill="auto"/>
            <w:noWrap/>
            <w:vAlign w:val="center"/>
            <w:hideMark/>
          </w:tcPr>
          <w:p w14:paraId="13DF8C95"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3.7%</w:t>
            </w:r>
          </w:p>
        </w:tc>
        <w:tc>
          <w:tcPr>
            <w:tcW w:w="555" w:type="pct"/>
            <w:tcBorders>
              <w:top w:val="nil"/>
              <w:left w:val="nil"/>
              <w:bottom w:val="single" w:sz="4" w:space="0" w:color="auto"/>
              <w:right w:val="single" w:sz="4" w:space="0" w:color="auto"/>
            </w:tcBorders>
            <w:shd w:val="clear" w:color="auto" w:fill="auto"/>
            <w:noWrap/>
            <w:vAlign w:val="center"/>
            <w:hideMark/>
          </w:tcPr>
          <w:p w14:paraId="0220E123"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22.9%</w:t>
            </w:r>
          </w:p>
        </w:tc>
        <w:tc>
          <w:tcPr>
            <w:tcW w:w="651" w:type="pct"/>
            <w:tcBorders>
              <w:top w:val="nil"/>
              <w:left w:val="nil"/>
              <w:bottom w:val="single" w:sz="4" w:space="0" w:color="auto"/>
              <w:right w:val="single" w:sz="4" w:space="0" w:color="auto"/>
            </w:tcBorders>
            <w:shd w:val="clear" w:color="auto" w:fill="auto"/>
            <w:noWrap/>
            <w:vAlign w:val="center"/>
            <w:hideMark/>
          </w:tcPr>
          <w:p w14:paraId="4269A740"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61.4%</w:t>
            </w:r>
          </w:p>
        </w:tc>
        <w:tc>
          <w:tcPr>
            <w:tcW w:w="566" w:type="pct"/>
            <w:tcBorders>
              <w:top w:val="nil"/>
              <w:left w:val="nil"/>
              <w:bottom w:val="single" w:sz="4" w:space="0" w:color="auto"/>
              <w:right w:val="single" w:sz="4" w:space="0" w:color="auto"/>
            </w:tcBorders>
            <w:shd w:val="clear" w:color="auto" w:fill="auto"/>
            <w:noWrap/>
            <w:vAlign w:val="center"/>
            <w:hideMark/>
          </w:tcPr>
          <w:p w14:paraId="6A420A2E" w14:textId="77777777" w:rsidR="008F5E07" w:rsidRPr="00777102" w:rsidRDefault="008F5E07" w:rsidP="0064319B">
            <w:pPr>
              <w:spacing w:after="0" w:line="240" w:lineRule="auto"/>
              <w:jc w:val="center"/>
              <w:rPr>
                <w:rFonts w:ascii="Calibri" w:eastAsia="Times New Roman" w:hAnsi="Calibri" w:cs="Times New Roman"/>
                <w:sz w:val="20"/>
              </w:rPr>
            </w:pPr>
            <w:r w:rsidRPr="00777102">
              <w:rPr>
                <w:rFonts w:ascii="Calibri" w:eastAsia="Times New Roman" w:hAnsi="Calibri" w:cs="Times New Roman"/>
                <w:sz w:val="20"/>
              </w:rPr>
              <w:t>3.9%</w:t>
            </w:r>
          </w:p>
        </w:tc>
      </w:tr>
    </w:tbl>
    <w:p w14:paraId="4E176B8E" w14:textId="26E6C42F" w:rsidR="001F2D1F" w:rsidRDefault="001F2D1F" w:rsidP="005D2985">
      <w:pPr>
        <w:pStyle w:val="Default"/>
        <w:rPr>
          <w:rFonts w:ascii="Calibri" w:hAnsi="Calibri"/>
          <w:b/>
        </w:rPr>
      </w:pPr>
    </w:p>
    <w:p w14:paraId="6C66CE95" w14:textId="5EDA3D5D" w:rsidR="001F2D1F" w:rsidRPr="00462285" w:rsidRDefault="001F2D1F" w:rsidP="00462285">
      <w:pPr>
        <w:pStyle w:val="Default"/>
        <w:numPr>
          <w:ilvl w:val="2"/>
          <w:numId w:val="1"/>
        </w:numPr>
        <w:ind w:left="1800"/>
        <w:rPr>
          <w:rStyle w:val="Strong"/>
          <w:rFonts w:asciiTheme="minorHAnsi" w:hAnsiTheme="minorHAnsi" w:cstheme="minorHAnsi"/>
          <w:b w:val="0"/>
          <w:sz w:val="22"/>
          <w:szCs w:val="22"/>
        </w:rPr>
      </w:pPr>
      <w:r w:rsidRPr="00462285">
        <w:rPr>
          <w:rStyle w:val="Strong"/>
          <w:rFonts w:asciiTheme="minorHAnsi" w:hAnsiTheme="minorHAnsi" w:cstheme="minorHAnsi"/>
          <w:b w:val="0"/>
          <w:sz w:val="22"/>
          <w:szCs w:val="22"/>
        </w:rPr>
        <w:t>Provide the measurements of interim progress toward meeting the long-term goals for academic achievement in Appendix A.</w:t>
      </w:r>
    </w:p>
    <w:p w14:paraId="1DEE06A0" w14:textId="77777777" w:rsidR="001F2D1F" w:rsidRPr="00462285" w:rsidRDefault="001F2D1F" w:rsidP="00462285">
      <w:r w:rsidRPr="00462285">
        <w:t>See Appendix A</w:t>
      </w:r>
    </w:p>
    <w:p w14:paraId="4F80E557" w14:textId="77777777" w:rsidR="001F2D1F" w:rsidRDefault="001F2D1F" w:rsidP="00462285">
      <w:r w:rsidRPr="005A4A39">
        <w:t xml:space="preserve">The statewide measures of interim progress for all students and all subgroups are outlined in Appendix A. </w:t>
      </w:r>
      <w:r w:rsidRPr="00C5767D">
        <w:t xml:space="preserve">In addition to the state level, Alaska will set measures of interim progress toward the long-term goals for each school and district for all students and for each subgroup of students based on the baseline data </w:t>
      </w:r>
      <w:r>
        <w:t>from the 2017 administration of assessments</w:t>
      </w:r>
      <w:r w:rsidRPr="00C5767D">
        <w:t>. This practice recognizes stakeholder input</w:t>
      </w:r>
      <w:r>
        <w:t xml:space="preserve"> regarding the importance of recognizing</w:t>
      </w:r>
      <w:r w:rsidRPr="00C5767D">
        <w:t xml:space="preserve"> the difference between schools and</w:t>
      </w:r>
      <w:r>
        <w:t xml:space="preserve"> provides an </w:t>
      </w:r>
      <w:r w:rsidRPr="00C5767D">
        <w:t xml:space="preserve">incentive </w:t>
      </w:r>
      <w:r>
        <w:t xml:space="preserve">to </w:t>
      </w:r>
      <w:r w:rsidRPr="00C5767D">
        <w:t>increas</w:t>
      </w:r>
      <w:r>
        <w:t>e</w:t>
      </w:r>
      <w:r w:rsidRPr="00C5767D">
        <w:t xml:space="preserve"> the achievement of all students.</w:t>
      </w:r>
    </w:p>
    <w:p w14:paraId="2152575B" w14:textId="32A1311B" w:rsidR="001F2D1F" w:rsidRPr="00462285" w:rsidRDefault="001F2D1F" w:rsidP="00462285">
      <w:pPr>
        <w:pStyle w:val="ListParagraph"/>
        <w:numPr>
          <w:ilvl w:val="2"/>
          <w:numId w:val="1"/>
        </w:numPr>
        <w:ind w:left="1800"/>
        <w:rPr>
          <w:rStyle w:val="Strong"/>
          <w:rFonts w:cstheme="minorHAnsi"/>
          <w:b w:val="0"/>
        </w:rPr>
      </w:pPr>
      <w:r w:rsidRPr="00462285">
        <w:rPr>
          <w:rStyle w:val="Strong"/>
          <w:rFonts w:cstheme="minorHAnsi"/>
          <w:b w:val="0"/>
        </w:rPr>
        <w:t>Describe how the long-term goals and measurements of interim progress toward the long-term goals for academic achievement take into account the improvement necessary to make significant progress in closing statewide proficiency gaps.</w:t>
      </w:r>
    </w:p>
    <w:p w14:paraId="15CF4FB1" w14:textId="3F05C55C" w:rsidR="008F5E07" w:rsidRPr="00697AC2" w:rsidRDefault="001F2D1F" w:rsidP="00462285">
      <w:r>
        <w:t>Alaska will set uniform annual increases in measures of interim progress toward the long-term goals for academic achievement at the state level for all students and for each subgroup of students. Although the long-term goal for the subgroups with lower performance in the baseline year is lower than the long-term goal for all students, the annual growth targets over the 10-year period are greater for subgroups with lower performance. As an example, the annual growth target in ELA for all students is 3.0 percent, while the annual growth target for English learners is 4.7%. If all students and English learners meet their respective long-term goals, the achievement gap between these two groups will shrink from 34.3 percentage points to 17.2 percentage points.</w:t>
      </w:r>
    </w:p>
    <w:p w14:paraId="50791DA7" w14:textId="1BDA8F0F" w:rsidR="00137937" w:rsidRPr="00462285" w:rsidRDefault="00137937" w:rsidP="006641B6">
      <w:pPr>
        <w:pStyle w:val="ListParagraph"/>
        <w:numPr>
          <w:ilvl w:val="0"/>
          <w:numId w:val="90"/>
        </w:numPr>
        <w:ind w:left="1440"/>
        <w:rPr>
          <w:rStyle w:val="Strong"/>
          <w:rFonts w:cstheme="minorHAnsi"/>
          <w:b w:val="0"/>
        </w:rPr>
      </w:pPr>
      <w:r w:rsidRPr="00462285">
        <w:rPr>
          <w:rStyle w:val="Strong"/>
          <w:rFonts w:cstheme="minorHAnsi"/>
          <w:b w:val="0"/>
        </w:rPr>
        <w:t xml:space="preserve">Graduation Rate. (ESEA section 1111(c)(4)(A)(i)(I)(bb)) </w:t>
      </w:r>
    </w:p>
    <w:p w14:paraId="5173695B" w14:textId="7B7AFCEF" w:rsidR="00137937" w:rsidRPr="00462285" w:rsidRDefault="00137937" w:rsidP="006641B6">
      <w:pPr>
        <w:pStyle w:val="ListParagraph"/>
        <w:numPr>
          <w:ilvl w:val="0"/>
          <w:numId w:val="91"/>
        </w:numPr>
        <w:ind w:left="1800"/>
        <w:rPr>
          <w:rStyle w:val="Strong"/>
          <w:rFonts w:cstheme="minorHAnsi"/>
          <w:b w:val="0"/>
        </w:rPr>
      </w:pPr>
      <w:r w:rsidRPr="00462285">
        <w:rPr>
          <w:rStyle w:val="Strong"/>
          <w:rFonts w:cstheme="minorHAnsi"/>
          <w:b w:val="0"/>
        </w:rPr>
        <w:lastRenderedPageBreak/>
        <w:t xml:space="preserve">Describe the long-term goals for the four-year adjusted cohort graduation rate for all students and for each subgroup of students, including: (i) baseline data; (ii) the timeline for meeting the long-term goals, for which the term must be the same multi-year length of time for all students and for each subgroup of students in the State; and (iii) how the long-term goals are ambitious. </w:t>
      </w:r>
    </w:p>
    <w:p w14:paraId="071F2DE2" w14:textId="77777777" w:rsidR="00137937" w:rsidRDefault="00137937" w:rsidP="00462285">
      <w:r w:rsidRPr="00137937">
        <w:t xml:space="preserve">Alaska will use the same long-term goal of 90 percent for the four-year adjusted cohort graduation rate for all students and for each subgroup of students by the 2026-2027 school year. While Alaska’s long-term goal for academic achievement is not the same goal for all students at the end of 10 years, recent graduation rate data indicate that the annual increases needed to reach the same long-term goal for the four-year adjusted cohort graduation rate are more realistic for all groups than they would be for the academic achievement goals. The 2016-2017 four-year cohort graduation rate for all students was 78.2 percent. </w:t>
      </w:r>
    </w:p>
    <w:p w14:paraId="22444A29" w14:textId="0AF73491" w:rsidR="00137937" w:rsidRPr="00137937" w:rsidRDefault="00137937" w:rsidP="00462285">
      <w:r w:rsidRPr="00137937">
        <w:t>The vision of the State Board of Education is that “all students can succeed in their education and work.” While it is important for every student to leave high school prepared for work or postsecondary education, the long-term goal of 90 percent recognizes the reality that some students will take longer than four years to earn a diploma, and others may earn an alternate credential such as a GED. The baseline graduation rate is from the 2016-2017 school year. While Alaska has had a goal of 90 percent for the four-year adjusted cohort graduation rate, the long-term goal is ambitious, as subgroups will need an annual increase of as much as 3.2 percent in order to meet the measures of interim progress.</w:t>
      </w:r>
    </w:p>
    <w:p w14:paraId="65354579" w14:textId="63C350E6" w:rsidR="00137937" w:rsidRPr="00462285" w:rsidRDefault="00137937" w:rsidP="006641B6">
      <w:pPr>
        <w:pStyle w:val="ListParagraph"/>
        <w:numPr>
          <w:ilvl w:val="0"/>
          <w:numId w:val="91"/>
        </w:numPr>
        <w:ind w:left="1800"/>
        <w:rPr>
          <w:rStyle w:val="Strong"/>
          <w:rFonts w:cstheme="minorHAnsi"/>
          <w:b w:val="0"/>
        </w:rPr>
      </w:pPr>
      <w:r w:rsidRPr="00462285">
        <w:rPr>
          <w:rStyle w:val="Strong"/>
          <w:rFonts w:cstheme="minorHAnsi"/>
          <w:b w:val="0"/>
        </w:rPr>
        <w:t xml:space="preserve">If applicable, describe the long-term goals for each extended-year adjusted cohort graduation rate, including (i) baseline data; (ii) the timeline for meeting the long-term goals, for which the term must be the same multi-year length of time for all students and for each subgroup of students in the State; (iii) how the long-term goals are ambitious; and (iv) how the long-term goals are more rigorous than the long-term goal set for the four-year adjusted cohort graduation rate. </w:t>
      </w:r>
    </w:p>
    <w:p w14:paraId="0B35ABC9" w14:textId="77777777" w:rsidR="00137937" w:rsidRDefault="00137937" w:rsidP="00137937">
      <w:pPr>
        <w:rPr>
          <w:rFonts w:ascii="Calibri" w:hAnsi="Calibri"/>
        </w:rPr>
      </w:pPr>
      <w:r>
        <w:rPr>
          <w:rFonts w:ascii="Calibri" w:hAnsi="Calibri"/>
        </w:rPr>
        <w:t>Alaska proposes the same long-term goal of 93 percent for the five-year adjusted cohort graduation rate for all students and for each subgroup of students by the 2026-2027 school year. While Alaska’s long-term goal for academic achievement is not the same goal for all students at the end of 10 years, recent graduation rate data indicate that the annual increases needed to reach the same long-term goal for the five-year adjusted cohort graduation rate are more realistic for all groups than they would be for the academic achievement goals. The 2016-2017 five-year cohort graduation rate for all students was 81.3 percent.</w:t>
      </w:r>
    </w:p>
    <w:p w14:paraId="115813DA" w14:textId="19BAE42E" w:rsidR="003556DD" w:rsidRDefault="00137937">
      <w:pPr>
        <w:rPr>
          <w:rFonts w:ascii="Calibri" w:hAnsi="Calibri"/>
        </w:rPr>
      </w:pPr>
      <w:r>
        <w:rPr>
          <w:rFonts w:ascii="Calibri" w:hAnsi="Calibri"/>
        </w:rPr>
        <w:t>The vision of the State Board of Education is that “all students can succeed in their education and work.” While it is important for every student to leave high school prepared for work or postsecondary education, the long-term goal of 93 percent recognizes the reality that some students will take longer than five years to earn a diploma, and others may earn an alternate credential such as a GED. The baseline graduation rate is from the 2016-2017 school year. The long-term goal is ambitious, as subgroups will need an annual increase of as much as 2.8 percent in order to meet the measures of interim progress.</w:t>
      </w:r>
    </w:p>
    <w:p w14:paraId="529A4EC1" w14:textId="010A408F" w:rsidR="00137937" w:rsidRPr="008903CE" w:rsidRDefault="00137937" w:rsidP="006641B6">
      <w:pPr>
        <w:pStyle w:val="ListParagraph"/>
        <w:numPr>
          <w:ilvl w:val="0"/>
          <w:numId w:val="91"/>
        </w:numPr>
        <w:ind w:left="1800"/>
        <w:rPr>
          <w:rStyle w:val="Strong"/>
          <w:rFonts w:cstheme="minorHAnsi"/>
          <w:b w:val="0"/>
        </w:rPr>
      </w:pPr>
      <w:r w:rsidRPr="008903CE">
        <w:rPr>
          <w:rStyle w:val="Strong"/>
          <w:rFonts w:cstheme="minorHAnsi"/>
          <w:b w:val="0"/>
        </w:rPr>
        <w:t xml:space="preserve">Provide the measurements of interim progress toward the long-term goals for the four-year adjusted cohort graduation rate and any extended-year adjusted cohort graduation rate in Appendix A. </w:t>
      </w:r>
    </w:p>
    <w:p w14:paraId="73BE27AE" w14:textId="45B4A5AE" w:rsidR="004F4376" w:rsidRPr="008903CE" w:rsidRDefault="004F4376" w:rsidP="008903CE">
      <w:pPr>
        <w:rPr>
          <w:b/>
        </w:rPr>
      </w:pPr>
      <w:r w:rsidRPr="008903CE">
        <w:rPr>
          <w:b/>
        </w:rPr>
        <w:lastRenderedPageBreak/>
        <w:t>See Appendix A</w:t>
      </w:r>
      <w:r w:rsidR="008903CE">
        <w:rPr>
          <w:b/>
        </w:rPr>
        <w:t>.</w:t>
      </w:r>
    </w:p>
    <w:p w14:paraId="31D07A93" w14:textId="12A3C455" w:rsidR="00137937" w:rsidRDefault="004F4376">
      <w:pPr>
        <w:rPr>
          <w:noProof/>
        </w:rPr>
      </w:pPr>
      <w:r w:rsidRPr="002C638E">
        <w:rPr>
          <w:rFonts w:ascii="Calibri" w:hAnsi="Calibri"/>
        </w:rPr>
        <w:t xml:space="preserve">The statewide measures of interim progress for all students and all subgroups are outlined in Appendix A. </w:t>
      </w:r>
      <w:r w:rsidRPr="00C5767D">
        <w:rPr>
          <w:rFonts w:ascii="Calibri" w:hAnsi="Calibri"/>
        </w:rPr>
        <w:t xml:space="preserve">In addition to the state level, Alaska will set measures of interim progress toward the long-term goals for each school and district for all students and for each subgroup of students based on the baseline data </w:t>
      </w:r>
      <w:r>
        <w:rPr>
          <w:rFonts w:ascii="Calibri" w:hAnsi="Calibri"/>
        </w:rPr>
        <w:t>from the 2016-2017 school year</w:t>
      </w:r>
      <w:r w:rsidRPr="007F3F36">
        <w:t xml:space="preserve">. This practice recognizes stakeholder input regarding the importance of recognizing the difference between schools and </w:t>
      </w:r>
      <w:r>
        <w:t xml:space="preserve">provides an </w:t>
      </w:r>
      <w:r w:rsidRPr="007F3F36">
        <w:t xml:space="preserve">incentive </w:t>
      </w:r>
      <w:r>
        <w:t xml:space="preserve">to </w:t>
      </w:r>
      <w:r w:rsidRPr="007F3F36">
        <w:t>increas</w:t>
      </w:r>
      <w:r>
        <w:t>e</w:t>
      </w:r>
      <w:r w:rsidRPr="007F3F36">
        <w:t xml:space="preserve"> the graduation rate of all students. The table below shows the annual increments needed to generate the measures of interim progress</w:t>
      </w:r>
      <w:r w:rsidRPr="007F3F36">
        <w:rPr>
          <w:noProof/>
        </w:rPr>
        <w:t>.</w:t>
      </w:r>
    </w:p>
    <w:p w14:paraId="2FAFBA89" w14:textId="3C34D923" w:rsidR="004F4376" w:rsidRDefault="004F4376" w:rsidP="008903CE">
      <w:pPr>
        <w:rPr>
          <w:rFonts w:ascii="Calibri" w:hAnsi="Calibri"/>
        </w:rPr>
      </w:pPr>
      <w:r w:rsidRPr="007F3F36">
        <w:rPr>
          <w:b/>
          <w:noProof/>
        </w:rPr>
        <w:t xml:space="preserve">Summary of Statewide Long-Term </w:t>
      </w:r>
      <w:r>
        <w:rPr>
          <w:b/>
          <w:noProof/>
        </w:rPr>
        <w:t>Graduation Rate</w:t>
      </w:r>
      <w:r w:rsidRPr="007F3F36">
        <w:rPr>
          <w:b/>
          <w:noProof/>
        </w:rPr>
        <w:t xml:space="preserve"> Goals</w:t>
      </w:r>
    </w:p>
    <w:tbl>
      <w:tblPr>
        <w:tblW w:w="5000" w:type="pct"/>
        <w:tblLayout w:type="fixed"/>
        <w:tblLook w:val="04A0" w:firstRow="1" w:lastRow="0" w:firstColumn="1" w:lastColumn="0" w:noHBand="0" w:noVBand="1"/>
      </w:tblPr>
      <w:tblGrid>
        <w:gridCol w:w="2245"/>
        <w:gridCol w:w="1183"/>
        <w:gridCol w:w="1184"/>
        <w:gridCol w:w="1184"/>
        <w:gridCol w:w="1184"/>
        <w:gridCol w:w="1184"/>
        <w:gridCol w:w="1186"/>
      </w:tblGrid>
      <w:tr w:rsidR="00C16677" w:rsidRPr="00D63D82" w14:paraId="3A295ED0" w14:textId="77777777" w:rsidTr="00C16677">
        <w:trPr>
          <w:trHeight w:val="900"/>
        </w:trPr>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58F23C00" w14:textId="7BC79804" w:rsidR="004F4376" w:rsidRPr="001E3DBF"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Student Group</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3774D" w14:textId="77777777" w:rsidR="00C16677"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Four-Year Graduation Rate</w:t>
            </w:r>
            <w:r w:rsidRPr="001E3DBF">
              <w:rPr>
                <w:rFonts w:ascii="Calibri" w:eastAsia="Times New Roman" w:hAnsi="Calibri" w:cs="Times New Roman"/>
                <w:color w:val="000000"/>
                <w:sz w:val="20"/>
              </w:rPr>
              <w:t xml:space="preserve"> </w:t>
            </w:r>
            <w:r w:rsidR="004F4376" w:rsidRPr="00F96089">
              <w:rPr>
                <w:rFonts w:ascii="Calibri" w:eastAsia="Times New Roman" w:hAnsi="Calibri" w:cs="Times New Roman"/>
                <w:b/>
                <w:color w:val="000000"/>
                <w:sz w:val="20"/>
              </w:rPr>
              <w:t>Baseline</w:t>
            </w:r>
          </w:p>
          <w:p w14:paraId="5FF4A04B" w14:textId="39F8F9C9" w:rsidR="004F4376" w:rsidRPr="001E3DBF" w:rsidRDefault="00C16677" w:rsidP="00C7105E">
            <w:pPr>
              <w:spacing w:after="0" w:line="240" w:lineRule="auto"/>
              <w:jc w:val="center"/>
              <w:rPr>
                <w:rFonts w:ascii="Calibri" w:eastAsia="Times New Roman" w:hAnsi="Calibri" w:cs="Times New Roman"/>
                <w:color w:val="000000"/>
                <w:sz w:val="20"/>
              </w:rPr>
            </w:pPr>
            <w:r w:rsidRPr="001E3DBF">
              <w:rPr>
                <w:rFonts w:ascii="Calibri" w:eastAsia="Times New Roman" w:hAnsi="Calibri" w:cs="Times New Roman"/>
                <w:color w:val="000000"/>
                <w:sz w:val="20"/>
              </w:rPr>
              <w:t>2016-2017</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B9C7F" w14:textId="77777777" w:rsidR="00C16677"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 xml:space="preserve">Four-Year Graduation </w:t>
            </w:r>
            <w:r w:rsidR="004F4376" w:rsidRPr="00F96089">
              <w:rPr>
                <w:rFonts w:ascii="Calibri" w:eastAsia="Times New Roman" w:hAnsi="Calibri" w:cs="Times New Roman"/>
                <w:b/>
                <w:color w:val="000000"/>
                <w:sz w:val="20"/>
              </w:rPr>
              <w:t>Long-Term Goal</w:t>
            </w:r>
          </w:p>
          <w:p w14:paraId="46B64459" w14:textId="154F7301" w:rsidR="004F4376" w:rsidRPr="001E3DBF" w:rsidRDefault="00C16677" w:rsidP="00C7105E">
            <w:pPr>
              <w:spacing w:after="0" w:line="240" w:lineRule="auto"/>
              <w:jc w:val="center"/>
              <w:rPr>
                <w:rFonts w:ascii="Calibri" w:eastAsia="Times New Roman" w:hAnsi="Calibri" w:cs="Times New Roman"/>
                <w:color w:val="000000"/>
                <w:sz w:val="20"/>
              </w:rPr>
            </w:pPr>
            <w:r w:rsidRPr="001E3DBF">
              <w:rPr>
                <w:rFonts w:ascii="Calibri" w:eastAsia="Times New Roman" w:hAnsi="Calibri" w:cs="Times New Roman"/>
                <w:color w:val="000000"/>
                <w:sz w:val="20"/>
              </w:rPr>
              <w:t>2026-2027</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8E1C6" w14:textId="7D36B8D7" w:rsidR="004F4376" w:rsidRPr="001E3DBF"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 xml:space="preserve">Four-Year Graduation </w:t>
            </w:r>
            <w:r w:rsidR="004F4376" w:rsidRPr="00F96089">
              <w:rPr>
                <w:rFonts w:ascii="Calibri" w:eastAsia="Times New Roman" w:hAnsi="Calibri" w:cs="Times New Roman"/>
                <w:b/>
                <w:color w:val="000000"/>
                <w:sz w:val="20"/>
              </w:rPr>
              <w:t>Annual Increment Needed</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91EE9" w14:textId="77777777" w:rsidR="00C16677"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Five-Year Graduation Rate</w:t>
            </w:r>
            <w:r w:rsidRPr="001E3DBF">
              <w:rPr>
                <w:rFonts w:ascii="Calibri" w:eastAsia="Times New Roman" w:hAnsi="Calibri" w:cs="Times New Roman"/>
                <w:color w:val="000000"/>
                <w:sz w:val="20"/>
              </w:rPr>
              <w:t xml:space="preserve"> </w:t>
            </w:r>
            <w:r w:rsidR="004F4376" w:rsidRPr="00F96089">
              <w:rPr>
                <w:rFonts w:ascii="Calibri" w:eastAsia="Times New Roman" w:hAnsi="Calibri" w:cs="Times New Roman"/>
                <w:b/>
                <w:color w:val="000000"/>
                <w:sz w:val="20"/>
              </w:rPr>
              <w:t>Baseline</w:t>
            </w:r>
          </w:p>
          <w:p w14:paraId="27AA41CC" w14:textId="27DB5ADA" w:rsidR="004F4376" w:rsidRPr="001E3DBF" w:rsidRDefault="00C16677" w:rsidP="00C7105E">
            <w:pPr>
              <w:spacing w:after="0" w:line="240" w:lineRule="auto"/>
              <w:jc w:val="center"/>
              <w:rPr>
                <w:rFonts w:ascii="Calibri" w:eastAsia="Times New Roman" w:hAnsi="Calibri" w:cs="Times New Roman"/>
                <w:color w:val="000000"/>
                <w:sz w:val="20"/>
              </w:rPr>
            </w:pPr>
            <w:r w:rsidRPr="001E3DBF">
              <w:rPr>
                <w:rFonts w:ascii="Calibri" w:eastAsia="Times New Roman" w:hAnsi="Calibri" w:cs="Times New Roman"/>
                <w:color w:val="000000"/>
                <w:sz w:val="20"/>
              </w:rPr>
              <w:t>2016-2017</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92959" w14:textId="77777777" w:rsidR="00C16677"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Five-Year Graduation Rate</w:t>
            </w:r>
            <w:r w:rsidRPr="001E3DBF">
              <w:rPr>
                <w:rFonts w:ascii="Calibri" w:eastAsia="Times New Roman" w:hAnsi="Calibri" w:cs="Times New Roman"/>
                <w:color w:val="000000"/>
                <w:sz w:val="20"/>
              </w:rPr>
              <w:t xml:space="preserve"> </w:t>
            </w:r>
            <w:r w:rsidR="004F4376" w:rsidRPr="00F96089">
              <w:rPr>
                <w:rFonts w:ascii="Calibri" w:eastAsia="Times New Roman" w:hAnsi="Calibri" w:cs="Times New Roman"/>
                <w:b/>
                <w:color w:val="000000"/>
                <w:sz w:val="20"/>
              </w:rPr>
              <w:t>Long-Term Goal</w:t>
            </w:r>
          </w:p>
          <w:p w14:paraId="49AAF2EB" w14:textId="6D6EB8EC" w:rsidR="004F4376" w:rsidRPr="001E3DBF" w:rsidRDefault="00C16677" w:rsidP="00C7105E">
            <w:pPr>
              <w:spacing w:after="0" w:line="240" w:lineRule="auto"/>
              <w:jc w:val="center"/>
              <w:rPr>
                <w:rFonts w:ascii="Calibri" w:eastAsia="Times New Roman" w:hAnsi="Calibri" w:cs="Times New Roman"/>
                <w:color w:val="000000"/>
                <w:sz w:val="20"/>
              </w:rPr>
            </w:pPr>
            <w:r w:rsidRPr="001E3DBF">
              <w:rPr>
                <w:rFonts w:ascii="Calibri" w:eastAsia="Times New Roman" w:hAnsi="Calibri" w:cs="Times New Roman"/>
                <w:color w:val="000000"/>
                <w:sz w:val="20"/>
              </w:rPr>
              <w:t>2026-2027</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609F9" w14:textId="13B943CA" w:rsidR="004F4376" w:rsidRPr="001E3DBF" w:rsidRDefault="00C16677"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Five-Year Graduation Rate</w:t>
            </w:r>
            <w:r w:rsidRPr="001E3DBF">
              <w:rPr>
                <w:rFonts w:ascii="Calibri" w:eastAsia="Times New Roman" w:hAnsi="Calibri" w:cs="Times New Roman"/>
                <w:color w:val="000000"/>
                <w:sz w:val="20"/>
              </w:rPr>
              <w:t xml:space="preserve"> </w:t>
            </w:r>
            <w:r w:rsidR="004F4376" w:rsidRPr="00F96089">
              <w:rPr>
                <w:rFonts w:ascii="Calibri" w:eastAsia="Times New Roman" w:hAnsi="Calibri" w:cs="Times New Roman"/>
                <w:b/>
                <w:color w:val="000000"/>
                <w:sz w:val="20"/>
              </w:rPr>
              <w:t>Annual Increment Needed</w:t>
            </w:r>
          </w:p>
        </w:tc>
      </w:tr>
      <w:tr w:rsidR="00C16677" w:rsidRPr="00D63D82" w14:paraId="6D9867B2" w14:textId="77777777" w:rsidTr="00C16677">
        <w:trPr>
          <w:trHeight w:val="450"/>
        </w:trPr>
        <w:tc>
          <w:tcPr>
            <w:tcW w:w="1201" w:type="pct"/>
            <w:vMerge/>
            <w:tcBorders>
              <w:top w:val="single" w:sz="4" w:space="0" w:color="auto"/>
              <w:left w:val="single" w:sz="4" w:space="0" w:color="auto"/>
              <w:bottom w:val="single" w:sz="4" w:space="0" w:color="auto"/>
              <w:right w:val="single" w:sz="4" w:space="0" w:color="auto"/>
            </w:tcBorders>
            <w:vAlign w:val="center"/>
            <w:hideMark/>
          </w:tcPr>
          <w:p w14:paraId="602724BB"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8B90B99"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DFEDB7A"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536AA91"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D3A4EF2"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0F384B0" w14:textId="77777777" w:rsidR="004F4376" w:rsidRPr="001E3DBF" w:rsidRDefault="004F4376" w:rsidP="00C7105E">
            <w:pPr>
              <w:spacing w:after="0" w:line="240" w:lineRule="auto"/>
              <w:rPr>
                <w:rFonts w:ascii="Calibri" w:eastAsia="Times New Roman" w:hAnsi="Calibri" w:cs="Times New Roman"/>
                <w:color w:val="000000"/>
                <w:sz w:val="20"/>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3936278F" w14:textId="77777777" w:rsidR="004F4376" w:rsidRPr="001E3DBF" w:rsidRDefault="004F4376" w:rsidP="00C7105E">
            <w:pPr>
              <w:spacing w:after="0" w:line="240" w:lineRule="auto"/>
              <w:rPr>
                <w:rFonts w:ascii="Calibri" w:eastAsia="Times New Roman" w:hAnsi="Calibri" w:cs="Times New Roman"/>
                <w:color w:val="000000"/>
                <w:sz w:val="20"/>
              </w:rPr>
            </w:pPr>
          </w:p>
        </w:tc>
      </w:tr>
      <w:tr w:rsidR="00C16677" w:rsidRPr="00D63D82" w14:paraId="4CCB4E23"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10F174CC"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All students</w:t>
            </w:r>
          </w:p>
        </w:tc>
        <w:tc>
          <w:tcPr>
            <w:tcW w:w="633" w:type="pct"/>
            <w:tcBorders>
              <w:top w:val="nil"/>
              <w:left w:val="nil"/>
              <w:bottom w:val="single" w:sz="4" w:space="0" w:color="auto"/>
              <w:right w:val="single" w:sz="4" w:space="0" w:color="auto"/>
            </w:tcBorders>
            <w:shd w:val="clear" w:color="auto" w:fill="auto"/>
            <w:noWrap/>
            <w:vAlign w:val="center"/>
            <w:hideMark/>
          </w:tcPr>
          <w:p w14:paraId="1A1A7461"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78.2%</w:t>
            </w:r>
          </w:p>
        </w:tc>
        <w:tc>
          <w:tcPr>
            <w:tcW w:w="633" w:type="pct"/>
            <w:tcBorders>
              <w:top w:val="nil"/>
              <w:left w:val="nil"/>
              <w:bottom w:val="single" w:sz="4" w:space="0" w:color="auto"/>
              <w:right w:val="single" w:sz="4" w:space="0" w:color="auto"/>
            </w:tcBorders>
            <w:shd w:val="clear" w:color="auto" w:fill="auto"/>
            <w:noWrap/>
            <w:vAlign w:val="center"/>
            <w:hideMark/>
          </w:tcPr>
          <w:p w14:paraId="03EF5E8C"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110AC1E8"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1.2%</w:t>
            </w:r>
          </w:p>
        </w:tc>
        <w:tc>
          <w:tcPr>
            <w:tcW w:w="633" w:type="pct"/>
            <w:tcBorders>
              <w:top w:val="nil"/>
              <w:left w:val="nil"/>
              <w:bottom w:val="single" w:sz="4" w:space="0" w:color="auto"/>
              <w:right w:val="single" w:sz="4" w:space="0" w:color="auto"/>
            </w:tcBorders>
            <w:shd w:val="clear" w:color="auto" w:fill="auto"/>
            <w:noWrap/>
            <w:vAlign w:val="center"/>
            <w:hideMark/>
          </w:tcPr>
          <w:p w14:paraId="64BD98B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81.3%</w:t>
            </w:r>
          </w:p>
        </w:tc>
        <w:tc>
          <w:tcPr>
            <w:tcW w:w="633" w:type="pct"/>
            <w:tcBorders>
              <w:top w:val="nil"/>
              <w:left w:val="nil"/>
              <w:bottom w:val="single" w:sz="4" w:space="0" w:color="auto"/>
              <w:right w:val="single" w:sz="4" w:space="0" w:color="auto"/>
            </w:tcBorders>
            <w:shd w:val="clear" w:color="auto" w:fill="auto"/>
            <w:noWrap/>
            <w:vAlign w:val="center"/>
            <w:hideMark/>
          </w:tcPr>
          <w:p w14:paraId="5899014B"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00D37F6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1.2%</w:t>
            </w:r>
          </w:p>
        </w:tc>
      </w:tr>
      <w:tr w:rsidR="00C16677" w:rsidRPr="00D63D82" w14:paraId="4BC986E9"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2E8165A4"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African American</w:t>
            </w:r>
          </w:p>
        </w:tc>
        <w:tc>
          <w:tcPr>
            <w:tcW w:w="633" w:type="pct"/>
            <w:tcBorders>
              <w:top w:val="nil"/>
              <w:left w:val="nil"/>
              <w:bottom w:val="single" w:sz="4" w:space="0" w:color="auto"/>
              <w:right w:val="single" w:sz="4" w:space="0" w:color="auto"/>
            </w:tcBorders>
            <w:shd w:val="clear" w:color="auto" w:fill="auto"/>
            <w:noWrap/>
            <w:vAlign w:val="center"/>
            <w:hideMark/>
          </w:tcPr>
          <w:p w14:paraId="35250A1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73.9%</w:t>
            </w:r>
          </w:p>
        </w:tc>
        <w:tc>
          <w:tcPr>
            <w:tcW w:w="633" w:type="pct"/>
            <w:tcBorders>
              <w:top w:val="nil"/>
              <w:left w:val="nil"/>
              <w:bottom w:val="single" w:sz="4" w:space="0" w:color="auto"/>
              <w:right w:val="single" w:sz="4" w:space="0" w:color="auto"/>
            </w:tcBorders>
            <w:shd w:val="clear" w:color="auto" w:fill="auto"/>
            <w:noWrap/>
            <w:vAlign w:val="center"/>
            <w:hideMark/>
          </w:tcPr>
          <w:p w14:paraId="6901C39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03B9558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1.6%</w:t>
            </w:r>
          </w:p>
        </w:tc>
        <w:tc>
          <w:tcPr>
            <w:tcW w:w="633" w:type="pct"/>
            <w:tcBorders>
              <w:top w:val="nil"/>
              <w:left w:val="nil"/>
              <w:bottom w:val="single" w:sz="4" w:space="0" w:color="auto"/>
              <w:right w:val="single" w:sz="4" w:space="0" w:color="auto"/>
            </w:tcBorders>
            <w:shd w:val="clear" w:color="auto" w:fill="auto"/>
            <w:noWrap/>
            <w:vAlign w:val="center"/>
            <w:hideMark/>
          </w:tcPr>
          <w:p w14:paraId="781284B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81.5%</w:t>
            </w:r>
          </w:p>
        </w:tc>
        <w:tc>
          <w:tcPr>
            <w:tcW w:w="633" w:type="pct"/>
            <w:tcBorders>
              <w:top w:val="nil"/>
              <w:left w:val="nil"/>
              <w:bottom w:val="single" w:sz="4" w:space="0" w:color="auto"/>
              <w:right w:val="single" w:sz="4" w:space="0" w:color="auto"/>
            </w:tcBorders>
            <w:shd w:val="clear" w:color="auto" w:fill="auto"/>
            <w:noWrap/>
            <w:vAlign w:val="center"/>
            <w:hideMark/>
          </w:tcPr>
          <w:p w14:paraId="797B340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0688DE6C"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1.1%</w:t>
            </w:r>
          </w:p>
        </w:tc>
      </w:tr>
      <w:tr w:rsidR="00C16677" w:rsidRPr="00D63D82" w14:paraId="48409785"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0D4982E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Alaska Native/American Indian</w:t>
            </w:r>
          </w:p>
        </w:tc>
        <w:tc>
          <w:tcPr>
            <w:tcW w:w="633" w:type="pct"/>
            <w:tcBorders>
              <w:top w:val="nil"/>
              <w:left w:val="nil"/>
              <w:bottom w:val="single" w:sz="4" w:space="0" w:color="auto"/>
              <w:right w:val="single" w:sz="4" w:space="0" w:color="auto"/>
            </w:tcBorders>
            <w:shd w:val="clear" w:color="auto" w:fill="auto"/>
            <w:noWrap/>
            <w:vAlign w:val="center"/>
            <w:hideMark/>
          </w:tcPr>
          <w:p w14:paraId="582F546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68.9%</w:t>
            </w:r>
          </w:p>
        </w:tc>
        <w:tc>
          <w:tcPr>
            <w:tcW w:w="633" w:type="pct"/>
            <w:tcBorders>
              <w:top w:val="nil"/>
              <w:left w:val="nil"/>
              <w:bottom w:val="single" w:sz="4" w:space="0" w:color="auto"/>
              <w:right w:val="single" w:sz="4" w:space="0" w:color="auto"/>
            </w:tcBorders>
            <w:shd w:val="clear" w:color="auto" w:fill="auto"/>
            <w:noWrap/>
            <w:vAlign w:val="center"/>
            <w:hideMark/>
          </w:tcPr>
          <w:p w14:paraId="2AC5924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7889F46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2.1%</w:t>
            </w:r>
          </w:p>
        </w:tc>
        <w:tc>
          <w:tcPr>
            <w:tcW w:w="633" w:type="pct"/>
            <w:tcBorders>
              <w:top w:val="nil"/>
              <w:left w:val="nil"/>
              <w:bottom w:val="single" w:sz="4" w:space="0" w:color="auto"/>
              <w:right w:val="single" w:sz="4" w:space="0" w:color="auto"/>
            </w:tcBorders>
            <w:shd w:val="clear" w:color="auto" w:fill="auto"/>
            <w:noWrap/>
            <w:vAlign w:val="center"/>
            <w:hideMark/>
          </w:tcPr>
          <w:p w14:paraId="5F72E7BE" w14:textId="77777777" w:rsidR="004F4376" w:rsidRPr="007F3F36" w:rsidRDefault="004F4376" w:rsidP="00C7105E">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72.5%</w:t>
            </w:r>
          </w:p>
        </w:tc>
        <w:tc>
          <w:tcPr>
            <w:tcW w:w="633" w:type="pct"/>
            <w:tcBorders>
              <w:top w:val="nil"/>
              <w:left w:val="nil"/>
              <w:bottom w:val="single" w:sz="4" w:space="0" w:color="auto"/>
              <w:right w:val="single" w:sz="4" w:space="0" w:color="auto"/>
            </w:tcBorders>
            <w:shd w:val="clear" w:color="auto" w:fill="auto"/>
            <w:noWrap/>
            <w:vAlign w:val="center"/>
            <w:hideMark/>
          </w:tcPr>
          <w:p w14:paraId="56313E7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3A3617EC"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2.1%</w:t>
            </w:r>
          </w:p>
        </w:tc>
      </w:tr>
      <w:tr w:rsidR="00C16677" w:rsidRPr="00D63D82" w14:paraId="2CC77C70"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71019A89"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Asian/Pacific Islander</w:t>
            </w:r>
          </w:p>
        </w:tc>
        <w:tc>
          <w:tcPr>
            <w:tcW w:w="633" w:type="pct"/>
            <w:tcBorders>
              <w:top w:val="nil"/>
              <w:left w:val="nil"/>
              <w:bottom w:val="single" w:sz="4" w:space="0" w:color="auto"/>
              <w:right w:val="single" w:sz="4" w:space="0" w:color="auto"/>
            </w:tcBorders>
            <w:shd w:val="clear" w:color="auto" w:fill="auto"/>
            <w:noWrap/>
            <w:vAlign w:val="center"/>
            <w:hideMark/>
          </w:tcPr>
          <w:p w14:paraId="65927613"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84.4%</w:t>
            </w:r>
          </w:p>
        </w:tc>
        <w:tc>
          <w:tcPr>
            <w:tcW w:w="633" w:type="pct"/>
            <w:tcBorders>
              <w:top w:val="nil"/>
              <w:left w:val="nil"/>
              <w:bottom w:val="single" w:sz="4" w:space="0" w:color="auto"/>
              <w:right w:val="single" w:sz="4" w:space="0" w:color="auto"/>
            </w:tcBorders>
            <w:shd w:val="clear" w:color="auto" w:fill="auto"/>
            <w:noWrap/>
            <w:vAlign w:val="center"/>
            <w:hideMark/>
          </w:tcPr>
          <w:p w14:paraId="3EC89DEE"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315F83EF"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0.6%</w:t>
            </w:r>
          </w:p>
        </w:tc>
        <w:tc>
          <w:tcPr>
            <w:tcW w:w="633" w:type="pct"/>
            <w:tcBorders>
              <w:top w:val="nil"/>
              <w:left w:val="nil"/>
              <w:bottom w:val="single" w:sz="4" w:space="0" w:color="auto"/>
              <w:right w:val="single" w:sz="4" w:space="0" w:color="auto"/>
            </w:tcBorders>
            <w:shd w:val="clear" w:color="auto" w:fill="auto"/>
            <w:noWrap/>
            <w:vAlign w:val="center"/>
            <w:hideMark/>
          </w:tcPr>
          <w:p w14:paraId="385544D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85.6%</w:t>
            </w:r>
          </w:p>
        </w:tc>
        <w:tc>
          <w:tcPr>
            <w:tcW w:w="633" w:type="pct"/>
            <w:tcBorders>
              <w:top w:val="nil"/>
              <w:left w:val="nil"/>
              <w:bottom w:val="single" w:sz="4" w:space="0" w:color="auto"/>
              <w:right w:val="single" w:sz="4" w:space="0" w:color="auto"/>
            </w:tcBorders>
            <w:shd w:val="clear" w:color="auto" w:fill="auto"/>
            <w:noWrap/>
            <w:vAlign w:val="center"/>
            <w:hideMark/>
          </w:tcPr>
          <w:p w14:paraId="3A3DA30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69A2FCC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0.7%</w:t>
            </w:r>
          </w:p>
        </w:tc>
      </w:tr>
      <w:tr w:rsidR="00C16677" w:rsidRPr="00D63D82" w14:paraId="4420263F"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7BFDA5FB"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Caucasian</w:t>
            </w:r>
          </w:p>
        </w:tc>
        <w:tc>
          <w:tcPr>
            <w:tcW w:w="633" w:type="pct"/>
            <w:tcBorders>
              <w:top w:val="nil"/>
              <w:left w:val="nil"/>
              <w:bottom w:val="single" w:sz="4" w:space="0" w:color="auto"/>
              <w:right w:val="single" w:sz="4" w:space="0" w:color="auto"/>
            </w:tcBorders>
            <w:shd w:val="clear" w:color="auto" w:fill="auto"/>
            <w:noWrap/>
            <w:vAlign w:val="center"/>
            <w:hideMark/>
          </w:tcPr>
          <w:p w14:paraId="4CD5917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82.2%</w:t>
            </w:r>
          </w:p>
        </w:tc>
        <w:tc>
          <w:tcPr>
            <w:tcW w:w="633" w:type="pct"/>
            <w:tcBorders>
              <w:top w:val="nil"/>
              <w:left w:val="nil"/>
              <w:bottom w:val="single" w:sz="4" w:space="0" w:color="auto"/>
              <w:right w:val="single" w:sz="4" w:space="0" w:color="auto"/>
            </w:tcBorders>
            <w:shd w:val="clear" w:color="auto" w:fill="auto"/>
            <w:noWrap/>
            <w:vAlign w:val="center"/>
            <w:hideMark/>
          </w:tcPr>
          <w:p w14:paraId="383A185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27C4652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0.8%</w:t>
            </w:r>
          </w:p>
        </w:tc>
        <w:tc>
          <w:tcPr>
            <w:tcW w:w="633" w:type="pct"/>
            <w:tcBorders>
              <w:top w:val="nil"/>
              <w:left w:val="nil"/>
              <w:bottom w:val="single" w:sz="4" w:space="0" w:color="auto"/>
              <w:right w:val="single" w:sz="4" w:space="0" w:color="auto"/>
            </w:tcBorders>
            <w:shd w:val="clear" w:color="auto" w:fill="auto"/>
            <w:noWrap/>
            <w:vAlign w:val="center"/>
            <w:hideMark/>
          </w:tcPr>
          <w:p w14:paraId="346833D9"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84.5%</w:t>
            </w:r>
          </w:p>
        </w:tc>
        <w:tc>
          <w:tcPr>
            <w:tcW w:w="633" w:type="pct"/>
            <w:tcBorders>
              <w:top w:val="nil"/>
              <w:left w:val="nil"/>
              <w:bottom w:val="single" w:sz="4" w:space="0" w:color="auto"/>
              <w:right w:val="single" w:sz="4" w:space="0" w:color="auto"/>
            </w:tcBorders>
            <w:shd w:val="clear" w:color="auto" w:fill="auto"/>
            <w:noWrap/>
            <w:vAlign w:val="center"/>
            <w:hideMark/>
          </w:tcPr>
          <w:p w14:paraId="1C99E0A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564C31D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0.8%</w:t>
            </w:r>
          </w:p>
        </w:tc>
      </w:tr>
      <w:tr w:rsidR="00C16677" w:rsidRPr="00D63D82" w14:paraId="3C7476F9"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20681A6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Hispanic</w:t>
            </w:r>
          </w:p>
        </w:tc>
        <w:tc>
          <w:tcPr>
            <w:tcW w:w="633" w:type="pct"/>
            <w:tcBorders>
              <w:top w:val="nil"/>
              <w:left w:val="nil"/>
              <w:bottom w:val="single" w:sz="4" w:space="0" w:color="auto"/>
              <w:right w:val="single" w:sz="4" w:space="0" w:color="auto"/>
            </w:tcBorders>
            <w:shd w:val="clear" w:color="auto" w:fill="auto"/>
            <w:noWrap/>
            <w:vAlign w:val="center"/>
            <w:hideMark/>
          </w:tcPr>
          <w:p w14:paraId="54C8A66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77.3%</w:t>
            </w:r>
          </w:p>
        </w:tc>
        <w:tc>
          <w:tcPr>
            <w:tcW w:w="633" w:type="pct"/>
            <w:tcBorders>
              <w:top w:val="nil"/>
              <w:left w:val="nil"/>
              <w:bottom w:val="single" w:sz="4" w:space="0" w:color="auto"/>
              <w:right w:val="single" w:sz="4" w:space="0" w:color="auto"/>
            </w:tcBorders>
            <w:shd w:val="clear" w:color="auto" w:fill="auto"/>
            <w:noWrap/>
            <w:vAlign w:val="center"/>
            <w:hideMark/>
          </w:tcPr>
          <w:p w14:paraId="30A4628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2D63EBB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1.3%</w:t>
            </w:r>
          </w:p>
        </w:tc>
        <w:tc>
          <w:tcPr>
            <w:tcW w:w="633" w:type="pct"/>
            <w:tcBorders>
              <w:top w:val="nil"/>
              <w:left w:val="nil"/>
              <w:bottom w:val="single" w:sz="4" w:space="0" w:color="auto"/>
              <w:right w:val="single" w:sz="4" w:space="0" w:color="auto"/>
            </w:tcBorders>
            <w:shd w:val="clear" w:color="auto" w:fill="auto"/>
            <w:noWrap/>
            <w:vAlign w:val="center"/>
            <w:hideMark/>
          </w:tcPr>
          <w:p w14:paraId="6D55D6A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81.4%</w:t>
            </w:r>
          </w:p>
        </w:tc>
        <w:tc>
          <w:tcPr>
            <w:tcW w:w="633" w:type="pct"/>
            <w:tcBorders>
              <w:top w:val="nil"/>
              <w:left w:val="nil"/>
              <w:bottom w:val="single" w:sz="4" w:space="0" w:color="auto"/>
              <w:right w:val="single" w:sz="4" w:space="0" w:color="auto"/>
            </w:tcBorders>
            <w:shd w:val="clear" w:color="auto" w:fill="auto"/>
            <w:noWrap/>
            <w:vAlign w:val="center"/>
            <w:hideMark/>
          </w:tcPr>
          <w:p w14:paraId="1119312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0E7F15D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1.2%</w:t>
            </w:r>
          </w:p>
        </w:tc>
      </w:tr>
      <w:tr w:rsidR="00C16677" w:rsidRPr="00D63D82" w14:paraId="7B81BD94"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5B0500F4"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Two or More Races</w:t>
            </w:r>
          </w:p>
        </w:tc>
        <w:tc>
          <w:tcPr>
            <w:tcW w:w="633" w:type="pct"/>
            <w:tcBorders>
              <w:top w:val="nil"/>
              <w:left w:val="nil"/>
              <w:bottom w:val="single" w:sz="4" w:space="0" w:color="auto"/>
              <w:right w:val="single" w:sz="4" w:space="0" w:color="auto"/>
            </w:tcBorders>
            <w:shd w:val="clear" w:color="auto" w:fill="auto"/>
            <w:noWrap/>
            <w:vAlign w:val="center"/>
            <w:hideMark/>
          </w:tcPr>
          <w:p w14:paraId="6A0269F4"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75.1%</w:t>
            </w:r>
          </w:p>
        </w:tc>
        <w:tc>
          <w:tcPr>
            <w:tcW w:w="633" w:type="pct"/>
            <w:tcBorders>
              <w:top w:val="nil"/>
              <w:left w:val="nil"/>
              <w:bottom w:val="single" w:sz="4" w:space="0" w:color="auto"/>
              <w:right w:val="single" w:sz="4" w:space="0" w:color="auto"/>
            </w:tcBorders>
            <w:shd w:val="clear" w:color="auto" w:fill="auto"/>
            <w:noWrap/>
            <w:vAlign w:val="center"/>
            <w:hideMark/>
          </w:tcPr>
          <w:p w14:paraId="79A7A34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2F2F113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1.5%</w:t>
            </w:r>
          </w:p>
        </w:tc>
        <w:tc>
          <w:tcPr>
            <w:tcW w:w="633" w:type="pct"/>
            <w:tcBorders>
              <w:top w:val="nil"/>
              <w:left w:val="nil"/>
              <w:bottom w:val="single" w:sz="4" w:space="0" w:color="auto"/>
              <w:right w:val="single" w:sz="4" w:space="0" w:color="auto"/>
            </w:tcBorders>
            <w:shd w:val="clear" w:color="auto" w:fill="auto"/>
            <w:noWrap/>
            <w:vAlign w:val="center"/>
            <w:hideMark/>
          </w:tcPr>
          <w:p w14:paraId="3BB436BC"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80.7%</w:t>
            </w:r>
          </w:p>
        </w:tc>
        <w:tc>
          <w:tcPr>
            <w:tcW w:w="633" w:type="pct"/>
            <w:tcBorders>
              <w:top w:val="nil"/>
              <w:left w:val="nil"/>
              <w:bottom w:val="single" w:sz="4" w:space="0" w:color="auto"/>
              <w:right w:val="single" w:sz="4" w:space="0" w:color="auto"/>
            </w:tcBorders>
            <w:shd w:val="clear" w:color="auto" w:fill="auto"/>
            <w:noWrap/>
            <w:vAlign w:val="center"/>
            <w:hideMark/>
          </w:tcPr>
          <w:p w14:paraId="0BA4964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4425DC5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1.2%</w:t>
            </w:r>
          </w:p>
        </w:tc>
      </w:tr>
      <w:tr w:rsidR="00C16677" w:rsidRPr="00D63D82" w14:paraId="18FAF2F3"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3B52D2C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Students with Disabilities</w:t>
            </w:r>
          </w:p>
        </w:tc>
        <w:tc>
          <w:tcPr>
            <w:tcW w:w="633" w:type="pct"/>
            <w:tcBorders>
              <w:top w:val="nil"/>
              <w:left w:val="nil"/>
              <w:bottom w:val="single" w:sz="4" w:space="0" w:color="auto"/>
              <w:right w:val="single" w:sz="4" w:space="0" w:color="auto"/>
            </w:tcBorders>
            <w:shd w:val="clear" w:color="auto" w:fill="auto"/>
            <w:noWrap/>
            <w:vAlign w:val="center"/>
            <w:hideMark/>
          </w:tcPr>
          <w:p w14:paraId="736CC114"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58.7%</w:t>
            </w:r>
          </w:p>
        </w:tc>
        <w:tc>
          <w:tcPr>
            <w:tcW w:w="633" w:type="pct"/>
            <w:tcBorders>
              <w:top w:val="nil"/>
              <w:left w:val="nil"/>
              <w:bottom w:val="single" w:sz="4" w:space="0" w:color="auto"/>
              <w:right w:val="single" w:sz="4" w:space="0" w:color="auto"/>
            </w:tcBorders>
            <w:shd w:val="clear" w:color="auto" w:fill="auto"/>
            <w:noWrap/>
            <w:vAlign w:val="center"/>
            <w:hideMark/>
          </w:tcPr>
          <w:p w14:paraId="2E38239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3ABA0D21"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3.1%</w:t>
            </w:r>
          </w:p>
        </w:tc>
        <w:tc>
          <w:tcPr>
            <w:tcW w:w="633" w:type="pct"/>
            <w:tcBorders>
              <w:top w:val="nil"/>
              <w:left w:val="nil"/>
              <w:bottom w:val="single" w:sz="4" w:space="0" w:color="auto"/>
              <w:right w:val="single" w:sz="4" w:space="0" w:color="auto"/>
            </w:tcBorders>
            <w:shd w:val="clear" w:color="auto" w:fill="auto"/>
            <w:noWrap/>
            <w:vAlign w:val="center"/>
            <w:hideMark/>
          </w:tcPr>
          <w:p w14:paraId="0E968A73"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64.6%</w:t>
            </w:r>
          </w:p>
        </w:tc>
        <w:tc>
          <w:tcPr>
            <w:tcW w:w="633" w:type="pct"/>
            <w:tcBorders>
              <w:top w:val="nil"/>
              <w:left w:val="nil"/>
              <w:bottom w:val="single" w:sz="4" w:space="0" w:color="auto"/>
              <w:right w:val="single" w:sz="4" w:space="0" w:color="auto"/>
            </w:tcBorders>
            <w:shd w:val="clear" w:color="auto" w:fill="auto"/>
            <w:noWrap/>
            <w:vAlign w:val="center"/>
            <w:hideMark/>
          </w:tcPr>
          <w:p w14:paraId="404A20F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76E0612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2.8%</w:t>
            </w:r>
          </w:p>
        </w:tc>
      </w:tr>
      <w:tr w:rsidR="00C16677" w:rsidRPr="00D63D82" w14:paraId="42F84786"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6E47248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English Learners</w:t>
            </w:r>
          </w:p>
        </w:tc>
        <w:tc>
          <w:tcPr>
            <w:tcW w:w="633" w:type="pct"/>
            <w:tcBorders>
              <w:top w:val="nil"/>
              <w:left w:val="nil"/>
              <w:bottom w:val="single" w:sz="4" w:space="0" w:color="auto"/>
              <w:right w:val="single" w:sz="4" w:space="0" w:color="auto"/>
            </w:tcBorders>
            <w:shd w:val="clear" w:color="auto" w:fill="auto"/>
            <w:noWrap/>
            <w:vAlign w:val="center"/>
            <w:hideMark/>
          </w:tcPr>
          <w:p w14:paraId="3A511720"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57.7%</w:t>
            </w:r>
          </w:p>
        </w:tc>
        <w:tc>
          <w:tcPr>
            <w:tcW w:w="633" w:type="pct"/>
            <w:tcBorders>
              <w:top w:val="nil"/>
              <w:left w:val="nil"/>
              <w:bottom w:val="single" w:sz="4" w:space="0" w:color="auto"/>
              <w:right w:val="single" w:sz="4" w:space="0" w:color="auto"/>
            </w:tcBorders>
            <w:shd w:val="clear" w:color="auto" w:fill="auto"/>
            <w:noWrap/>
            <w:vAlign w:val="center"/>
            <w:hideMark/>
          </w:tcPr>
          <w:p w14:paraId="53F0F693"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5E3037F9"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3.2%</w:t>
            </w:r>
          </w:p>
        </w:tc>
        <w:tc>
          <w:tcPr>
            <w:tcW w:w="633" w:type="pct"/>
            <w:tcBorders>
              <w:top w:val="nil"/>
              <w:left w:val="nil"/>
              <w:bottom w:val="single" w:sz="4" w:space="0" w:color="auto"/>
              <w:right w:val="single" w:sz="4" w:space="0" w:color="auto"/>
            </w:tcBorders>
            <w:shd w:val="clear" w:color="auto" w:fill="auto"/>
            <w:noWrap/>
            <w:vAlign w:val="center"/>
            <w:hideMark/>
          </w:tcPr>
          <w:p w14:paraId="7AE02BBD"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65.5%</w:t>
            </w:r>
          </w:p>
        </w:tc>
        <w:tc>
          <w:tcPr>
            <w:tcW w:w="633" w:type="pct"/>
            <w:tcBorders>
              <w:top w:val="nil"/>
              <w:left w:val="nil"/>
              <w:bottom w:val="single" w:sz="4" w:space="0" w:color="auto"/>
              <w:right w:val="single" w:sz="4" w:space="0" w:color="auto"/>
            </w:tcBorders>
            <w:shd w:val="clear" w:color="auto" w:fill="auto"/>
            <w:noWrap/>
            <w:vAlign w:val="center"/>
            <w:hideMark/>
          </w:tcPr>
          <w:p w14:paraId="04FADB2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26B68425"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2.8%</w:t>
            </w:r>
          </w:p>
        </w:tc>
      </w:tr>
      <w:tr w:rsidR="00C16677" w:rsidRPr="00D63D82" w14:paraId="4B96EC9F" w14:textId="77777777" w:rsidTr="00C16677">
        <w:trPr>
          <w:trHeight w:val="30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49DCAF7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rPr>
              <w:t>Economically Disadvantaged</w:t>
            </w:r>
          </w:p>
        </w:tc>
        <w:tc>
          <w:tcPr>
            <w:tcW w:w="633" w:type="pct"/>
            <w:tcBorders>
              <w:top w:val="nil"/>
              <w:left w:val="nil"/>
              <w:bottom w:val="single" w:sz="4" w:space="0" w:color="auto"/>
              <w:right w:val="single" w:sz="4" w:space="0" w:color="auto"/>
            </w:tcBorders>
            <w:shd w:val="clear" w:color="auto" w:fill="auto"/>
            <w:noWrap/>
            <w:vAlign w:val="center"/>
            <w:hideMark/>
          </w:tcPr>
          <w:p w14:paraId="3244C652"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72.0%</w:t>
            </w:r>
          </w:p>
        </w:tc>
        <w:tc>
          <w:tcPr>
            <w:tcW w:w="633" w:type="pct"/>
            <w:tcBorders>
              <w:top w:val="nil"/>
              <w:left w:val="nil"/>
              <w:bottom w:val="single" w:sz="4" w:space="0" w:color="auto"/>
              <w:right w:val="single" w:sz="4" w:space="0" w:color="auto"/>
            </w:tcBorders>
            <w:shd w:val="clear" w:color="auto" w:fill="auto"/>
            <w:noWrap/>
            <w:vAlign w:val="center"/>
            <w:hideMark/>
          </w:tcPr>
          <w:p w14:paraId="1378F9F4"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90.0%</w:t>
            </w:r>
          </w:p>
        </w:tc>
        <w:tc>
          <w:tcPr>
            <w:tcW w:w="633" w:type="pct"/>
            <w:tcBorders>
              <w:top w:val="nil"/>
              <w:left w:val="nil"/>
              <w:bottom w:val="single" w:sz="4" w:space="0" w:color="auto"/>
              <w:right w:val="single" w:sz="4" w:space="0" w:color="auto"/>
            </w:tcBorders>
            <w:shd w:val="clear" w:color="auto" w:fill="auto"/>
            <w:noWrap/>
            <w:vAlign w:val="center"/>
            <w:hideMark/>
          </w:tcPr>
          <w:p w14:paraId="2319C807"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1.8%</w:t>
            </w:r>
          </w:p>
        </w:tc>
        <w:tc>
          <w:tcPr>
            <w:tcW w:w="633" w:type="pct"/>
            <w:tcBorders>
              <w:top w:val="nil"/>
              <w:left w:val="nil"/>
              <w:bottom w:val="single" w:sz="4" w:space="0" w:color="auto"/>
              <w:right w:val="single" w:sz="4" w:space="0" w:color="auto"/>
            </w:tcBorders>
            <w:shd w:val="clear" w:color="auto" w:fill="auto"/>
            <w:noWrap/>
            <w:vAlign w:val="center"/>
            <w:hideMark/>
          </w:tcPr>
          <w:p w14:paraId="2F1B8BD6"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77.4%</w:t>
            </w:r>
          </w:p>
        </w:tc>
        <w:tc>
          <w:tcPr>
            <w:tcW w:w="633" w:type="pct"/>
            <w:tcBorders>
              <w:top w:val="nil"/>
              <w:left w:val="nil"/>
              <w:bottom w:val="single" w:sz="4" w:space="0" w:color="auto"/>
              <w:right w:val="single" w:sz="4" w:space="0" w:color="auto"/>
            </w:tcBorders>
            <w:shd w:val="clear" w:color="auto" w:fill="auto"/>
            <w:noWrap/>
            <w:vAlign w:val="center"/>
            <w:hideMark/>
          </w:tcPr>
          <w:p w14:paraId="4ED05BAB"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93.0%</w:t>
            </w:r>
          </w:p>
        </w:tc>
        <w:tc>
          <w:tcPr>
            <w:tcW w:w="634" w:type="pct"/>
            <w:tcBorders>
              <w:top w:val="nil"/>
              <w:left w:val="nil"/>
              <w:bottom w:val="single" w:sz="4" w:space="0" w:color="auto"/>
              <w:right w:val="single" w:sz="4" w:space="0" w:color="auto"/>
            </w:tcBorders>
            <w:shd w:val="clear" w:color="auto" w:fill="auto"/>
            <w:noWrap/>
            <w:vAlign w:val="center"/>
            <w:hideMark/>
          </w:tcPr>
          <w:p w14:paraId="2A59A18A" w14:textId="77777777" w:rsidR="004F4376" w:rsidRPr="007F3F36" w:rsidRDefault="004F4376" w:rsidP="00C7105E">
            <w:pPr>
              <w:spacing w:after="0" w:line="240" w:lineRule="auto"/>
              <w:jc w:val="center"/>
              <w:rPr>
                <w:rFonts w:ascii="Calibri" w:eastAsia="Times New Roman" w:hAnsi="Calibri" w:cs="Times New Roman"/>
                <w:color w:val="000000"/>
                <w:sz w:val="20"/>
              </w:rPr>
            </w:pPr>
            <w:r w:rsidRPr="007F3F36">
              <w:rPr>
                <w:rFonts w:ascii="Calibri" w:eastAsia="Times New Roman" w:hAnsi="Calibri" w:cs="Times New Roman"/>
                <w:color w:val="000000"/>
                <w:sz w:val="20"/>
              </w:rPr>
              <w:t>1.6%</w:t>
            </w:r>
          </w:p>
        </w:tc>
      </w:tr>
    </w:tbl>
    <w:p w14:paraId="07336CF9" w14:textId="77777777" w:rsidR="00EE1CC2" w:rsidRDefault="00EE1CC2">
      <w:pPr>
        <w:rPr>
          <w:rFonts w:ascii="Calibri" w:hAnsi="Calibri"/>
        </w:rPr>
      </w:pPr>
      <w:r>
        <w:rPr>
          <w:rFonts w:ascii="Calibri" w:hAnsi="Calibri"/>
        </w:rPr>
        <w:br w:type="page"/>
      </w:r>
    </w:p>
    <w:p w14:paraId="6030609E" w14:textId="1E4DBB24" w:rsidR="00EE1CC2" w:rsidRPr="008903CE" w:rsidRDefault="00EE1CC2" w:rsidP="006641B6">
      <w:pPr>
        <w:pStyle w:val="ListParagraph"/>
        <w:numPr>
          <w:ilvl w:val="0"/>
          <w:numId w:val="91"/>
        </w:numPr>
        <w:ind w:left="1800"/>
        <w:rPr>
          <w:rStyle w:val="Strong"/>
          <w:b w:val="0"/>
        </w:rPr>
      </w:pPr>
      <w:r w:rsidRPr="008903CE">
        <w:rPr>
          <w:rStyle w:val="Strong"/>
          <w:b w:val="0"/>
        </w:rPr>
        <w:lastRenderedPageBreak/>
        <w:t xml:space="preserve">Describe how the long-term goals and measurements of interim progress for the four-year adjusted cohort graduation rate and any extended-year adjusted cohort graduation rate take into account the improvement necessary to make significant progress in closing statewide graduation rate gaps. </w:t>
      </w:r>
    </w:p>
    <w:p w14:paraId="50D8E899" w14:textId="6D89C15D" w:rsidR="004F4376" w:rsidRDefault="00EE1CC2" w:rsidP="004F4376">
      <w:pPr>
        <w:rPr>
          <w:rFonts w:ascii="Calibri" w:hAnsi="Calibri"/>
        </w:rPr>
      </w:pPr>
      <w:r w:rsidRPr="00B2383A">
        <w:rPr>
          <w:rFonts w:ascii="Calibri" w:hAnsi="Calibri"/>
        </w:rPr>
        <w:t xml:space="preserve">Alaska will set uniform annual increases in measures of interim progress toward the long-term goals for </w:t>
      </w:r>
      <w:r>
        <w:rPr>
          <w:rFonts w:ascii="Calibri" w:hAnsi="Calibri"/>
        </w:rPr>
        <w:t>the four- and five-year graduation</w:t>
      </w:r>
      <w:r w:rsidRPr="00B2383A">
        <w:rPr>
          <w:rFonts w:ascii="Calibri" w:hAnsi="Calibri"/>
        </w:rPr>
        <w:t xml:space="preserve"> </w:t>
      </w:r>
      <w:r>
        <w:rPr>
          <w:rFonts w:ascii="Calibri" w:hAnsi="Calibri"/>
        </w:rPr>
        <w:t xml:space="preserve">rates </w:t>
      </w:r>
      <w:r w:rsidRPr="00B2383A">
        <w:rPr>
          <w:rFonts w:ascii="Calibri" w:hAnsi="Calibri"/>
        </w:rPr>
        <w:t xml:space="preserve">at the state level for all students and for each subgroup of students. </w:t>
      </w:r>
      <w:r>
        <w:rPr>
          <w:rFonts w:ascii="Calibri" w:hAnsi="Calibri"/>
        </w:rPr>
        <w:t>T</w:t>
      </w:r>
      <w:r w:rsidRPr="00B2383A">
        <w:rPr>
          <w:rFonts w:ascii="Calibri" w:hAnsi="Calibri"/>
        </w:rPr>
        <w:t xml:space="preserve">he annual growth targets over the 10-year period are greater for subgroups with lower performance. </w:t>
      </w:r>
      <w:r>
        <w:rPr>
          <w:rFonts w:ascii="Calibri" w:hAnsi="Calibri"/>
        </w:rPr>
        <w:t>For</w:t>
      </w:r>
      <w:r w:rsidRPr="00B2383A">
        <w:rPr>
          <w:rFonts w:ascii="Calibri" w:hAnsi="Calibri"/>
        </w:rPr>
        <w:t xml:space="preserve"> example,</w:t>
      </w:r>
      <w:r>
        <w:rPr>
          <w:rFonts w:ascii="Calibri" w:hAnsi="Calibri"/>
        </w:rPr>
        <w:t xml:space="preserve"> the annual growth target for the four-year graduation rate </w:t>
      </w:r>
      <w:r w:rsidRPr="00B2383A">
        <w:rPr>
          <w:rFonts w:ascii="Calibri" w:hAnsi="Calibri"/>
        </w:rPr>
        <w:t xml:space="preserve">for all students is </w:t>
      </w:r>
      <w:r>
        <w:rPr>
          <w:rFonts w:ascii="Calibri" w:hAnsi="Calibri"/>
        </w:rPr>
        <w:t>1.2</w:t>
      </w:r>
      <w:r w:rsidRPr="00B2383A">
        <w:rPr>
          <w:rFonts w:ascii="Calibri" w:hAnsi="Calibri"/>
        </w:rPr>
        <w:t xml:space="preserve"> percent, while the annual growth target for English learners is </w:t>
      </w:r>
      <w:r>
        <w:rPr>
          <w:rFonts w:ascii="Calibri" w:hAnsi="Calibri"/>
        </w:rPr>
        <w:t>3.2</w:t>
      </w:r>
      <w:r w:rsidRPr="00B2383A">
        <w:rPr>
          <w:rFonts w:ascii="Calibri" w:hAnsi="Calibri"/>
        </w:rPr>
        <w:t xml:space="preserve">%. If all students </w:t>
      </w:r>
      <w:r>
        <w:rPr>
          <w:rFonts w:ascii="Calibri" w:hAnsi="Calibri"/>
        </w:rPr>
        <w:t xml:space="preserve">and English learners meet the long-term goal of 90 percent, the difference in the four-year graduation rate for </w:t>
      </w:r>
      <w:r w:rsidRPr="00B2383A">
        <w:rPr>
          <w:rFonts w:ascii="Calibri" w:hAnsi="Calibri"/>
        </w:rPr>
        <w:t xml:space="preserve">these two groups will shrink from </w:t>
      </w:r>
      <w:r>
        <w:rPr>
          <w:rFonts w:ascii="Calibri" w:hAnsi="Calibri"/>
        </w:rPr>
        <w:t>20.5</w:t>
      </w:r>
      <w:r w:rsidRPr="00B2383A">
        <w:rPr>
          <w:rFonts w:ascii="Calibri" w:hAnsi="Calibri"/>
        </w:rPr>
        <w:t xml:space="preserve"> percentage p</w:t>
      </w:r>
      <w:r>
        <w:rPr>
          <w:rFonts w:ascii="Calibri" w:hAnsi="Calibri"/>
        </w:rPr>
        <w:t>oints to zero.</w:t>
      </w:r>
    </w:p>
    <w:p w14:paraId="3F423C8F" w14:textId="0E295436" w:rsidR="00EE1CC2" w:rsidRPr="008903CE" w:rsidRDefault="00EE1CC2" w:rsidP="006641B6">
      <w:pPr>
        <w:pStyle w:val="ListParagraph"/>
        <w:numPr>
          <w:ilvl w:val="0"/>
          <w:numId w:val="90"/>
        </w:numPr>
        <w:ind w:left="1440"/>
        <w:rPr>
          <w:rStyle w:val="Strong"/>
          <w:rFonts w:cstheme="minorHAnsi"/>
          <w:b w:val="0"/>
        </w:rPr>
      </w:pPr>
      <w:r w:rsidRPr="008903CE">
        <w:rPr>
          <w:rStyle w:val="Strong"/>
          <w:rFonts w:cstheme="minorHAnsi"/>
          <w:b w:val="0"/>
        </w:rPr>
        <w:t xml:space="preserve">English Language Proficiency. (ESEA section 1111(c)(4)(A)(ii)) </w:t>
      </w:r>
    </w:p>
    <w:p w14:paraId="6B1A0BFE" w14:textId="4F8D2ED2" w:rsidR="00EE1CC2" w:rsidRPr="008903CE" w:rsidRDefault="00EE1CC2" w:rsidP="006641B6">
      <w:pPr>
        <w:pStyle w:val="ListParagraph"/>
        <w:numPr>
          <w:ilvl w:val="0"/>
          <w:numId w:val="92"/>
        </w:numPr>
        <w:ind w:left="1800"/>
        <w:rPr>
          <w:rStyle w:val="Strong"/>
          <w:rFonts w:cstheme="minorHAnsi"/>
          <w:b w:val="0"/>
        </w:rPr>
      </w:pPr>
      <w:r w:rsidRPr="008903CE">
        <w:rPr>
          <w:rStyle w:val="Strong"/>
          <w:rFonts w:cstheme="minorHAnsi"/>
          <w:b w:val="0"/>
        </w:rPr>
        <w:t xml:space="preserve">Describe the long-term goals for English learners for increases in the percentage of such students making progress in achieving English language proficiency, as measured by the statewide English language proficiency </w:t>
      </w:r>
      <w:r w:rsidRPr="008903CE">
        <w:rPr>
          <w:rStyle w:val="Strong"/>
          <w:rFonts w:cstheme="minorHAnsi"/>
          <w:b w:val="0"/>
        </w:rPr>
        <w:tab/>
        <w:t xml:space="preserve">assessment including: (i) baseline data; (ii) the State-determined timeline for such students to achieve English language proficiency; and (iii) how the long-term goals are ambitious. </w:t>
      </w:r>
    </w:p>
    <w:p w14:paraId="62E407D4" w14:textId="77777777" w:rsidR="00F96089" w:rsidRDefault="00F96089" w:rsidP="00F96089">
      <w:pPr>
        <w:rPr>
          <w:rFonts w:ascii="Calibri" w:hAnsi="Calibri"/>
        </w:rPr>
      </w:pPr>
      <w:r>
        <w:rPr>
          <w:rFonts w:ascii="Calibri" w:hAnsi="Calibri"/>
        </w:rPr>
        <w:t>Research indicates that the average time it takes English learners to reach proficiency is four to seven years. “</w:t>
      </w:r>
      <w:r>
        <w:t>Research on the question of time to reclassification suggests that the answer rests on a number of factors, including characteristics of the student and the criteria used—but in general, attaining English proficiency takes considerable time. … Taking these studies together, the earlier (</w:t>
      </w:r>
      <w:proofErr w:type="spellStart"/>
      <w:r>
        <w:t>Hakuta</w:t>
      </w:r>
      <w:proofErr w:type="spellEnd"/>
      <w:r>
        <w:t xml:space="preserve"> et al., 2000) estimated time frames remain consistent with the new research findings, suggesting that most students take multiple years to be reclassified and that timing to reclassification varies considerably, due to both individual and structural factors” (Robinson-</w:t>
      </w:r>
      <w:proofErr w:type="spellStart"/>
      <w:r>
        <w:t>Cimpian</w:t>
      </w:r>
      <w:proofErr w:type="spellEnd"/>
      <w:r>
        <w:t>, et al., 2016).</w:t>
      </w:r>
    </w:p>
    <w:p w14:paraId="54E57BDF" w14:textId="77777777" w:rsidR="00F96089" w:rsidRDefault="00F96089" w:rsidP="00F96089">
      <w:pPr>
        <w:ind w:left="720"/>
        <w:rPr>
          <w:rFonts w:ascii="Calibri" w:hAnsi="Calibri"/>
        </w:rPr>
      </w:pPr>
      <w:proofErr w:type="spellStart"/>
      <w:r>
        <w:rPr>
          <w:rFonts w:ascii="Calibri" w:hAnsi="Calibri"/>
        </w:rPr>
        <w:t>Hakuta</w:t>
      </w:r>
      <w:proofErr w:type="spellEnd"/>
      <w:r>
        <w:rPr>
          <w:rFonts w:ascii="Calibri" w:hAnsi="Calibri"/>
        </w:rPr>
        <w:t xml:space="preserve">, K., Butler, Y.G., and Witt, D., 2000, </w:t>
      </w:r>
      <w:r>
        <w:rPr>
          <w:rFonts w:ascii="Calibri" w:hAnsi="Calibri"/>
          <w:i/>
        </w:rPr>
        <w:t xml:space="preserve">How Long Does It Take English Learners to Attain Proficiency? </w:t>
      </w:r>
      <w:r>
        <w:rPr>
          <w:rFonts w:ascii="Calibri" w:hAnsi="Calibri"/>
        </w:rPr>
        <w:t xml:space="preserve">Berkeley: University of California, Linguistic Minority Research Institute. </w:t>
      </w:r>
    </w:p>
    <w:p w14:paraId="32E29A6D" w14:textId="77777777" w:rsidR="00F96089" w:rsidRDefault="00F96089" w:rsidP="00F96089">
      <w:pPr>
        <w:ind w:left="720"/>
        <w:rPr>
          <w:rFonts w:ascii="Calibri" w:hAnsi="Calibri"/>
        </w:rPr>
      </w:pPr>
      <w:r w:rsidRPr="0005248A">
        <w:rPr>
          <w:rFonts w:ascii="Calibri" w:hAnsi="Calibri"/>
        </w:rPr>
        <w:t xml:space="preserve">Robinson- </w:t>
      </w:r>
      <w:proofErr w:type="spellStart"/>
      <w:r w:rsidRPr="0005248A">
        <w:rPr>
          <w:rFonts w:ascii="Calibri" w:hAnsi="Calibri"/>
        </w:rPr>
        <w:t>Cimpian</w:t>
      </w:r>
      <w:proofErr w:type="spellEnd"/>
      <w:r w:rsidRPr="0005248A">
        <w:rPr>
          <w:rFonts w:ascii="Calibri" w:hAnsi="Calibri"/>
        </w:rPr>
        <w:t>,</w:t>
      </w:r>
      <w:r>
        <w:rPr>
          <w:rFonts w:ascii="Calibri" w:hAnsi="Calibri"/>
        </w:rPr>
        <w:t xml:space="preserve"> Joseph P., </w:t>
      </w:r>
      <w:r w:rsidRPr="0005248A">
        <w:rPr>
          <w:rFonts w:ascii="Calibri" w:hAnsi="Calibri"/>
        </w:rPr>
        <w:t>Thompson,</w:t>
      </w:r>
      <w:r>
        <w:rPr>
          <w:rFonts w:ascii="Calibri" w:hAnsi="Calibri"/>
        </w:rPr>
        <w:t xml:space="preserve"> Karen D., and </w:t>
      </w:r>
      <w:proofErr w:type="spellStart"/>
      <w:r>
        <w:rPr>
          <w:rFonts w:ascii="Calibri" w:hAnsi="Calibri"/>
        </w:rPr>
        <w:t>Umansky</w:t>
      </w:r>
      <w:proofErr w:type="spellEnd"/>
      <w:r>
        <w:rPr>
          <w:rFonts w:ascii="Calibri" w:hAnsi="Calibri"/>
        </w:rPr>
        <w:t xml:space="preserve">, </w:t>
      </w:r>
      <w:proofErr w:type="spellStart"/>
      <w:r>
        <w:rPr>
          <w:rFonts w:ascii="Calibri" w:hAnsi="Calibri"/>
        </w:rPr>
        <w:t>Ilana</w:t>
      </w:r>
      <w:proofErr w:type="spellEnd"/>
      <w:r>
        <w:rPr>
          <w:rFonts w:ascii="Calibri" w:hAnsi="Calibri"/>
        </w:rPr>
        <w:t xml:space="preserve">, M., 2016, </w:t>
      </w:r>
      <w:r>
        <w:rPr>
          <w:rFonts w:ascii="Calibri" w:hAnsi="Calibri"/>
          <w:i/>
        </w:rPr>
        <w:t xml:space="preserve">Research and Policy Considerations for English Learner Equity. </w:t>
      </w:r>
      <w:r>
        <w:rPr>
          <w:rFonts w:ascii="Calibri" w:hAnsi="Calibri"/>
        </w:rPr>
        <w:t>SAGE Journals: Policy Insights from the Behavioral and Brain Sciences, Volume 3(1).</w:t>
      </w:r>
    </w:p>
    <w:p w14:paraId="76567134" w14:textId="77777777" w:rsidR="00F96089" w:rsidRDefault="00F96089" w:rsidP="00F96089">
      <w:pPr>
        <w:rPr>
          <w:rFonts w:ascii="Calibri" w:hAnsi="Calibri"/>
        </w:rPr>
      </w:pPr>
      <w:r>
        <w:rPr>
          <w:rFonts w:ascii="Calibri" w:hAnsi="Calibri"/>
        </w:rPr>
        <w:t xml:space="preserve">Alaska has a very diverse population of English learners. Over half of the 8,346 English learners enrolled in grades 3-9 on October 1, 2016, were representatives of Alaska’s Native languages of </w:t>
      </w:r>
      <w:proofErr w:type="spellStart"/>
      <w:r>
        <w:rPr>
          <w:rFonts w:ascii="Calibri" w:hAnsi="Calibri"/>
        </w:rPr>
        <w:t>Yup’ik</w:t>
      </w:r>
      <w:proofErr w:type="spellEnd"/>
      <w:r>
        <w:rPr>
          <w:rFonts w:ascii="Calibri" w:hAnsi="Calibri"/>
        </w:rPr>
        <w:t>, Inupiaq, and Athabascan. In addition, there are over 100 languages represented in the EL population in the state, especially in the state’s urban center of Anchorage. Based on the diversity of Alaska’s EL population and the variety of factors in the time needed to reach English proficiency, Alaska’s state-determined timeframe for an English learner to reach proficiency will depend on the student’s initial overall composite proficiency level. This timeframe will be no more than seven years following the year of initial identification.</w:t>
      </w:r>
    </w:p>
    <w:p w14:paraId="4B8BC4BF" w14:textId="08D2A3A6" w:rsidR="00F96089" w:rsidRDefault="00F96089" w:rsidP="00F96089">
      <w:pPr>
        <w:rPr>
          <w:rFonts w:ascii="Calibri" w:hAnsi="Calibri"/>
        </w:rPr>
      </w:pPr>
      <w:r>
        <w:rPr>
          <w:rFonts w:ascii="Calibri" w:hAnsi="Calibri"/>
        </w:rPr>
        <w:t xml:space="preserve">Alaska set its previous targets for making progress toward English language proficiency based on 2012 baseline data on the ACCESS for ELLs 1.0 assessment. These targets were set with stakeholders and applied to those districts that received Title III funding to support ELs. Those targets were set with an annual increase of 3.3% and if the pattern continued through the 2026-2027 school year, the goal would </w:t>
      </w:r>
      <w:r>
        <w:rPr>
          <w:rFonts w:ascii="Calibri" w:hAnsi="Calibri"/>
        </w:rPr>
        <w:lastRenderedPageBreak/>
        <w:t xml:space="preserve">be about 80%. This was an ambitious goal as the percentage of ELs making progress in 2015 was 47.6%. The ACCESS for ELLs 2.0 assessment is more rigorous and geared to align a student’s English language proficiency with the level of English needed to meet college- and career-ready English language arts standards. The Alaska State Board of </w:t>
      </w:r>
      <w:r w:rsidRPr="00A01DE8">
        <w:rPr>
          <w:rFonts w:ascii="Calibri" w:hAnsi="Calibri"/>
        </w:rPr>
        <w:t>Education &amp; Early Development</w:t>
      </w:r>
      <w:r>
        <w:rPr>
          <w:rFonts w:ascii="Calibri" w:hAnsi="Calibri"/>
        </w:rPr>
        <w:t xml:space="preserve"> adopted the Alaska English Language Arts and</w:t>
      </w:r>
      <w:r w:rsidR="008903CE">
        <w:rPr>
          <w:rFonts w:ascii="Calibri" w:hAnsi="Calibri"/>
        </w:rPr>
        <w:t xml:space="preserve"> Mathematics Standards in 2012.</w:t>
      </w:r>
    </w:p>
    <w:p w14:paraId="25B2B4B3" w14:textId="62ECBAF1" w:rsidR="00F96089" w:rsidRDefault="00F96089" w:rsidP="00F96089">
      <w:pPr>
        <w:rPr>
          <w:rFonts w:ascii="Calibri" w:hAnsi="Calibri"/>
        </w:rPr>
      </w:pPr>
      <w:r w:rsidRPr="00FB7CE8">
        <w:rPr>
          <w:rFonts w:ascii="Calibri" w:hAnsi="Calibri"/>
        </w:rPr>
        <w:t>In 2016, WIDA reset the level of student performance required for each proficiency level on ACCESS for ELLs 2.0. Although the WIDA English Language Development Standards have not changed, students must now demonstrate higher language skills in order to achieve the same level of proficiency.</w:t>
      </w:r>
      <w:r>
        <w:rPr>
          <w:rFonts w:ascii="Calibri" w:hAnsi="Calibri"/>
        </w:rPr>
        <w:t xml:space="preserve"> In 2017, 41.9 percent of Alaska’s English learners met their student-specific progress targets. Although DEED calculated these targets and the percentage of English learners who met them based on adjusted ACCESS for ELLs 2.0 results from the 2016 administration, this figure will be used as the baseline value. Alaska’s long-term goal for English learner progress toward English language proficiency is 70 percent in the 2026-2027 school year. This long-term goal is ambitious because of the gap from the baseline performance. In order to meet the long-term goal, the percentage of English learners meeting their progress targets must increase 2.8 percentage points annually.</w:t>
      </w:r>
    </w:p>
    <w:p w14:paraId="087B7F3A" w14:textId="77777777" w:rsidR="00F96089" w:rsidRDefault="00F96089" w:rsidP="008903CE">
      <w:pPr>
        <w:pStyle w:val="Default"/>
        <w:spacing w:after="120"/>
        <w:rPr>
          <w:rFonts w:ascii="Calibri" w:hAnsi="Calibri"/>
        </w:rPr>
      </w:pPr>
      <w:r w:rsidRPr="007F3F36">
        <w:rPr>
          <w:rFonts w:asciiTheme="minorHAnsi" w:hAnsiTheme="minorHAnsi"/>
          <w:b/>
          <w:noProof/>
          <w:sz w:val="22"/>
          <w:szCs w:val="22"/>
        </w:rPr>
        <w:t xml:space="preserve">Summary of Statewide Long-Term </w:t>
      </w:r>
      <w:r w:rsidRPr="00501864">
        <w:rPr>
          <w:rFonts w:asciiTheme="minorHAnsi" w:hAnsiTheme="minorHAnsi"/>
          <w:b/>
          <w:noProof/>
          <w:sz w:val="22"/>
          <w:szCs w:val="22"/>
        </w:rPr>
        <w:t xml:space="preserve">English Language Proficiency </w:t>
      </w:r>
      <w:r w:rsidRPr="007F3F36">
        <w:rPr>
          <w:rFonts w:asciiTheme="minorHAnsi" w:hAnsiTheme="minorHAnsi"/>
          <w:b/>
          <w:noProof/>
          <w:sz w:val="22"/>
          <w:szCs w:val="22"/>
        </w:rPr>
        <w:t>Goals</w:t>
      </w:r>
    </w:p>
    <w:tbl>
      <w:tblPr>
        <w:tblW w:w="4020" w:type="dxa"/>
        <w:jc w:val="center"/>
        <w:tblLook w:val="04A0" w:firstRow="1" w:lastRow="0" w:firstColumn="1" w:lastColumn="0" w:noHBand="0" w:noVBand="1"/>
      </w:tblPr>
      <w:tblGrid>
        <w:gridCol w:w="1340"/>
        <w:gridCol w:w="1340"/>
        <w:gridCol w:w="1340"/>
      </w:tblGrid>
      <w:tr w:rsidR="00F96089" w:rsidRPr="00501864" w14:paraId="47987D51" w14:textId="77777777" w:rsidTr="008903CE">
        <w:trPr>
          <w:trHeight w:val="910"/>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321A" w14:textId="77777777" w:rsidR="00F96089"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Baseline</w:t>
            </w:r>
          </w:p>
          <w:p w14:paraId="04CC91E4" w14:textId="53EFC7A7"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2016-2017</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AD8C1E" w14:textId="77777777" w:rsidR="00F96089"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Long-Term Goal</w:t>
            </w:r>
          </w:p>
          <w:p w14:paraId="370585AF" w14:textId="1CEC34AD"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2026-2027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66AB4" w14:textId="77777777"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Annual Increment Needed</w:t>
            </w:r>
          </w:p>
        </w:tc>
      </w:tr>
      <w:tr w:rsidR="00F96089" w:rsidRPr="00501864" w14:paraId="2D696472" w14:textId="77777777" w:rsidTr="00F96089">
        <w:trPr>
          <w:trHeight w:val="300"/>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A0392" w14:textId="77777777"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41.9%</w:t>
            </w:r>
          </w:p>
        </w:tc>
        <w:tc>
          <w:tcPr>
            <w:tcW w:w="1340" w:type="dxa"/>
            <w:tcBorders>
              <w:top w:val="nil"/>
              <w:left w:val="nil"/>
              <w:bottom w:val="single" w:sz="4" w:space="0" w:color="auto"/>
              <w:right w:val="single" w:sz="4" w:space="0" w:color="auto"/>
            </w:tcBorders>
            <w:shd w:val="clear" w:color="auto" w:fill="auto"/>
            <w:noWrap/>
            <w:vAlign w:val="center"/>
            <w:hideMark/>
          </w:tcPr>
          <w:p w14:paraId="72F7DDA4" w14:textId="77777777"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70.0%</w:t>
            </w:r>
          </w:p>
        </w:tc>
        <w:tc>
          <w:tcPr>
            <w:tcW w:w="1340" w:type="dxa"/>
            <w:tcBorders>
              <w:top w:val="nil"/>
              <w:left w:val="nil"/>
              <w:bottom w:val="single" w:sz="4" w:space="0" w:color="auto"/>
              <w:right w:val="single" w:sz="4" w:space="0" w:color="auto"/>
            </w:tcBorders>
            <w:shd w:val="clear" w:color="auto" w:fill="auto"/>
            <w:noWrap/>
            <w:vAlign w:val="center"/>
            <w:hideMark/>
          </w:tcPr>
          <w:p w14:paraId="29FEC21C" w14:textId="77777777" w:rsidR="00F96089" w:rsidRPr="00501864" w:rsidRDefault="00F96089" w:rsidP="00F96089">
            <w:pPr>
              <w:spacing w:after="0" w:line="240" w:lineRule="auto"/>
              <w:rPr>
                <w:rFonts w:ascii="Calibri" w:eastAsia="Times New Roman" w:hAnsi="Calibri" w:cs="Times New Roman"/>
                <w:color w:val="000000"/>
              </w:rPr>
            </w:pPr>
            <w:r w:rsidRPr="00501864">
              <w:rPr>
                <w:rFonts w:ascii="Calibri" w:eastAsia="Times New Roman" w:hAnsi="Calibri" w:cs="Times New Roman"/>
                <w:color w:val="000000"/>
              </w:rPr>
              <w:t>2.8%</w:t>
            </w:r>
          </w:p>
        </w:tc>
      </w:tr>
    </w:tbl>
    <w:p w14:paraId="2ECC9F1F" w14:textId="4714C182" w:rsidR="00F96089" w:rsidRDefault="00F96089" w:rsidP="00F96089">
      <w:pPr>
        <w:rPr>
          <w:rFonts w:ascii="Calibri" w:hAnsi="Calibri"/>
        </w:rPr>
      </w:pPr>
    </w:p>
    <w:p w14:paraId="025074D8" w14:textId="50ABE5C2" w:rsidR="00F96089" w:rsidRPr="008903CE" w:rsidRDefault="00F96089" w:rsidP="006641B6">
      <w:pPr>
        <w:pStyle w:val="ListParagraph"/>
        <w:numPr>
          <w:ilvl w:val="0"/>
          <w:numId w:val="92"/>
        </w:numPr>
        <w:ind w:left="1800"/>
        <w:rPr>
          <w:rStyle w:val="Strong"/>
          <w:b w:val="0"/>
        </w:rPr>
      </w:pPr>
      <w:r w:rsidRPr="008903CE">
        <w:rPr>
          <w:rStyle w:val="Strong"/>
          <w:b w:val="0"/>
        </w:rPr>
        <w:t>Provide the measurements of interim progress</w:t>
      </w:r>
      <w:r w:rsidR="008903CE">
        <w:rPr>
          <w:rStyle w:val="Strong"/>
          <w:b w:val="0"/>
        </w:rPr>
        <w:t xml:space="preserve"> toward the long-term goal for </w:t>
      </w:r>
      <w:r w:rsidRPr="008903CE">
        <w:rPr>
          <w:rStyle w:val="Strong"/>
          <w:b w:val="0"/>
        </w:rPr>
        <w:t>increases in the percentage of English learners making progress in achieving English language proficiency in Appendix A</w:t>
      </w:r>
    </w:p>
    <w:p w14:paraId="1E834F3D" w14:textId="77777777" w:rsidR="00F96089" w:rsidRDefault="00F96089" w:rsidP="00F96089">
      <w:pPr>
        <w:pStyle w:val="Default"/>
        <w:rPr>
          <w:rFonts w:ascii="Calibri" w:hAnsi="Calibri"/>
          <w:b/>
          <w:sz w:val="22"/>
          <w:szCs w:val="22"/>
        </w:rPr>
      </w:pPr>
      <w:r w:rsidRPr="00381D8C">
        <w:rPr>
          <w:rFonts w:ascii="Calibri" w:hAnsi="Calibri"/>
          <w:b/>
          <w:sz w:val="22"/>
          <w:szCs w:val="22"/>
        </w:rPr>
        <w:t>See Appendix A</w:t>
      </w:r>
      <w:r>
        <w:rPr>
          <w:rFonts w:ascii="Calibri" w:hAnsi="Calibri"/>
          <w:b/>
          <w:sz w:val="22"/>
          <w:szCs w:val="22"/>
        </w:rPr>
        <w:t>.</w:t>
      </w:r>
    </w:p>
    <w:p w14:paraId="1D2B8B09" w14:textId="7636D65C" w:rsidR="002F298D" w:rsidRPr="008903CE" w:rsidRDefault="002F298D" w:rsidP="006641B6">
      <w:pPr>
        <w:pStyle w:val="ListParagraph"/>
        <w:numPr>
          <w:ilvl w:val="2"/>
          <w:numId w:val="87"/>
        </w:numPr>
        <w:ind w:left="1080"/>
        <w:rPr>
          <w:rStyle w:val="Strong"/>
          <w:rFonts w:cstheme="minorHAnsi"/>
        </w:rPr>
      </w:pPr>
      <w:r w:rsidRPr="008903CE">
        <w:rPr>
          <w:rStyle w:val="Strong"/>
          <w:rFonts w:cstheme="minorHAnsi"/>
        </w:rPr>
        <w:t xml:space="preserve">Indicators (ESEA section 1111(c)(4)(B)) </w:t>
      </w:r>
    </w:p>
    <w:p w14:paraId="2A8194BD" w14:textId="757778D8" w:rsidR="002F298D" w:rsidRPr="008903CE" w:rsidRDefault="002F298D" w:rsidP="006641B6">
      <w:pPr>
        <w:pStyle w:val="ListParagraph"/>
        <w:numPr>
          <w:ilvl w:val="0"/>
          <w:numId w:val="93"/>
        </w:numPr>
        <w:ind w:left="1440"/>
        <w:rPr>
          <w:rStyle w:val="Strong"/>
          <w:rFonts w:cstheme="minorHAnsi"/>
          <w:b w:val="0"/>
        </w:rPr>
      </w:pPr>
      <w:r w:rsidRPr="008903CE">
        <w:rPr>
          <w:rStyle w:val="Strong"/>
          <w:rFonts w:cstheme="minorHAnsi"/>
          <w:b w:val="0"/>
        </w:rPr>
        <w:t xml:space="preserve">Academic Achievement Indicator. Describe the Academic Achievement indicator, including a description of how the indicator (i) is based on the long-term goals; (ii) is measured by proficiency on the annual Statewide reading/language arts and mathematics assessments; (iii) annually measures academic achievement for all students and separately for each subgroup of students; and (iv) at the State’s discretion, for each public high school in the State, includes a measure of student growth, as measured by the annual Statewide reading/language arts and mathematics assessments. </w:t>
      </w:r>
    </w:p>
    <w:p w14:paraId="66FF62AC" w14:textId="340D2F74" w:rsidR="002F298D" w:rsidRDefault="002F298D" w:rsidP="002F298D">
      <w:pPr>
        <w:rPr>
          <w:rFonts w:ascii="Calibri" w:hAnsi="Calibri"/>
        </w:rPr>
      </w:pPr>
      <w:r>
        <w:rPr>
          <w:rFonts w:ascii="Calibri" w:hAnsi="Calibri"/>
        </w:rPr>
        <w:t xml:space="preserve">Alaska will measure the percentage of students scoring at the proficient or advanced achievement levels on the statewide assessments in English language arts (ELA) and mathematics. While the indicator will be measured and reported for all students and all subgroups, for the purpose of inclusion in the index, schools will earn between zero and 100 points for the all students group, with ELA and mathematics being weighted equally. Except for the “80/20 rule” described later in this section, schools will earn points equal to the percentage </w:t>
      </w:r>
      <w:r w:rsidRPr="00B86340">
        <w:rPr>
          <w:rFonts w:ascii="Calibri" w:hAnsi="Calibri"/>
        </w:rPr>
        <w:t xml:space="preserve">of students scoring at the proficient or advanced achievement levels on the statewide assessments in </w:t>
      </w:r>
      <w:r>
        <w:rPr>
          <w:rFonts w:ascii="Calibri" w:hAnsi="Calibri"/>
        </w:rPr>
        <w:t>ELA</w:t>
      </w:r>
      <w:r w:rsidRPr="00B86340">
        <w:rPr>
          <w:rFonts w:ascii="Calibri" w:hAnsi="Calibri"/>
        </w:rPr>
        <w:t xml:space="preserve"> and mathematics</w:t>
      </w:r>
      <w:r>
        <w:rPr>
          <w:rFonts w:ascii="Calibri" w:hAnsi="Calibri"/>
        </w:rPr>
        <w:t>.</w:t>
      </w:r>
      <w:r w:rsidRPr="00B86340" w:rsidDel="00B24BC6">
        <w:rPr>
          <w:rFonts w:ascii="Calibri" w:hAnsi="Calibri"/>
        </w:rPr>
        <w:t xml:space="preserve"> </w:t>
      </w:r>
      <w:r>
        <w:rPr>
          <w:rFonts w:ascii="Calibri" w:hAnsi="Calibri"/>
        </w:rPr>
        <w:t xml:space="preserve">Since the long-term Academic Achievement goal is ambitious, a school will receive significantly more points when meeting its long-term goal. This indicator </w:t>
      </w:r>
      <w:r>
        <w:rPr>
          <w:rFonts w:ascii="Calibri" w:hAnsi="Calibri"/>
        </w:rPr>
        <w:lastRenderedPageBreak/>
        <w:t>will be calculated for the grade K-6 and grades 7 and above, except for schools with grade 12, portions of the accountability system.</w:t>
      </w:r>
    </w:p>
    <w:p w14:paraId="4114B665" w14:textId="5A7DB083" w:rsidR="002F298D" w:rsidRDefault="002F298D" w:rsidP="002F298D">
      <w:pPr>
        <w:rPr>
          <w:rFonts w:ascii="Calibri" w:hAnsi="Calibri"/>
        </w:rPr>
      </w:pPr>
      <w:r>
        <w:rPr>
          <w:rFonts w:ascii="Calibri" w:hAnsi="Calibri"/>
        </w:rPr>
        <w:t>If a school meets the participation requirement, the denominator will be all full academic year (FAY) students with a valid score.</w:t>
      </w:r>
      <w:r>
        <w:rPr>
          <w:rStyle w:val="FootnoteReference"/>
          <w:rFonts w:ascii="Calibri" w:hAnsi="Calibri"/>
        </w:rPr>
        <w:footnoteReference w:id="3"/>
      </w:r>
      <w:r>
        <w:rPr>
          <w:rFonts w:ascii="Calibri" w:hAnsi="Calibri"/>
        </w:rPr>
        <w:t xml:space="preserve"> If a school does not meet the participation rate requirement, the denominator will be 95 percent of all FAY students in grades 3-9. ESSA does not provide flexibility for a participation n-size when calculating the Academic Achievement indicator.</w:t>
      </w:r>
    </w:p>
    <w:p w14:paraId="1680478F" w14:textId="52A6192E" w:rsidR="00F96089" w:rsidRDefault="002F298D" w:rsidP="002F298D">
      <w:pPr>
        <w:rPr>
          <w:rFonts w:ascii="Calibri" w:hAnsi="Calibri"/>
        </w:rPr>
      </w:pPr>
      <w:r>
        <w:t>In order to protect student privacy, Alaska has developed protocols for reporting assessment results. The protocols for reporting two categories of achievement (proficient or not proficient) depend both on the number of students tested and the distribution of the results. If either proficiency level contains 0, 1, or 2 students, the number of students will be eliminated and the percentage of students at each achievement level will be reported as a range. For 10 students tested, the results will be reported as 80% or more proficient (or not proficient) and 20% or fewer not proficient (or proficient).</w:t>
      </w:r>
    </w:p>
    <w:p w14:paraId="2F83E960" w14:textId="77777777" w:rsidR="002F298D" w:rsidRDefault="002F298D" w:rsidP="002F298D">
      <w:pPr>
        <w:rPr>
          <w:rFonts w:ascii="Calibri" w:hAnsi="Calibri"/>
        </w:rPr>
      </w:pPr>
      <w:r>
        <w:rPr>
          <w:rFonts w:ascii="Calibri" w:hAnsi="Calibri"/>
        </w:rPr>
        <w:t xml:space="preserve">In order to protect student privacy, </w:t>
      </w:r>
      <w:r w:rsidRPr="009917A4">
        <w:rPr>
          <w:rFonts w:ascii="Calibri" w:hAnsi="Calibri"/>
        </w:rPr>
        <w:t xml:space="preserve">a school will receive zero points when the percentage is 20 percent or </w:t>
      </w:r>
      <w:r>
        <w:rPr>
          <w:rFonts w:ascii="Calibri" w:hAnsi="Calibri"/>
        </w:rPr>
        <w:t>less</w:t>
      </w:r>
      <w:r w:rsidRPr="009917A4">
        <w:rPr>
          <w:rFonts w:ascii="Calibri" w:hAnsi="Calibri"/>
        </w:rPr>
        <w:t xml:space="preserve"> regardless of whether a percentage range needs to be reported. If a percentage range needs to be reported, all values of 20 percent or </w:t>
      </w:r>
      <w:r>
        <w:rPr>
          <w:rFonts w:ascii="Calibri" w:hAnsi="Calibri"/>
        </w:rPr>
        <w:t>less</w:t>
      </w:r>
      <w:r w:rsidRPr="009917A4">
        <w:rPr>
          <w:rFonts w:ascii="Calibri" w:hAnsi="Calibri"/>
        </w:rPr>
        <w:t xml:space="preserve"> </w:t>
      </w:r>
      <w:r>
        <w:rPr>
          <w:rFonts w:ascii="Calibri" w:hAnsi="Calibri"/>
        </w:rPr>
        <w:t xml:space="preserve">must be treated </w:t>
      </w:r>
      <w:r w:rsidRPr="009917A4">
        <w:rPr>
          <w:rFonts w:ascii="Calibri" w:hAnsi="Calibri"/>
        </w:rPr>
        <w:t>the same. Otherwise, the exact count of students</w:t>
      </w:r>
      <w:r>
        <w:rPr>
          <w:rFonts w:ascii="Calibri" w:hAnsi="Calibri"/>
        </w:rPr>
        <w:t xml:space="preserve"> would be revealed</w:t>
      </w:r>
      <w:r w:rsidRPr="009917A4">
        <w:rPr>
          <w:rFonts w:ascii="Calibri" w:hAnsi="Calibri"/>
        </w:rPr>
        <w:t xml:space="preserve">. Since all values of 20 percent or </w:t>
      </w:r>
      <w:r>
        <w:rPr>
          <w:rFonts w:ascii="Calibri" w:hAnsi="Calibri"/>
        </w:rPr>
        <w:t>less</w:t>
      </w:r>
      <w:r w:rsidRPr="009917A4">
        <w:rPr>
          <w:rFonts w:ascii="Calibri" w:hAnsi="Calibri"/>
        </w:rPr>
        <w:t xml:space="preserve"> </w:t>
      </w:r>
      <w:r>
        <w:rPr>
          <w:rFonts w:ascii="Calibri" w:hAnsi="Calibri"/>
        </w:rPr>
        <w:t xml:space="preserve">have to be treated </w:t>
      </w:r>
      <w:r w:rsidRPr="009917A4">
        <w:rPr>
          <w:rFonts w:ascii="Calibri" w:hAnsi="Calibri"/>
        </w:rPr>
        <w:t xml:space="preserve">the same when a percentage range needs to be reported, </w:t>
      </w:r>
      <w:r>
        <w:rPr>
          <w:rFonts w:ascii="Calibri" w:hAnsi="Calibri"/>
        </w:rPr>
        <w:t xml:space="preserve">the same must occur </w:t>
      </w:r>
      <w:r w:rsidRPr="009917A4">
        <w:rPr>
          <w:rFonts w:ascii="Calibri" w:hAnsi="Calibri"/>
        </w:rPr>
        <w:t xml:space="preserve">when a range does </w:t>
      </w:r>
      <w:r w:rsidRPr="00777102">
        <w:rPr>
          <w:rFonts w:ascii="Calibri" w:hAnsi="Calibri"/>
          <w:u w:val="single"/>
        </w:rPr>
        <w:t>not</w:t>
      </w:r>
      <w:r>
        <w:rPr>
          <w:rFonts w:ascii="Calibri" w:hAnsi="Calibri"/>
          <w:u w:val="single"/>
        </w:rPr>
        <w:t xml:space="preserve"> </w:t>
      </w:r>
      <w:r w:rsidRPr="009917A4">
        <w:rPr>
          <w:rFonts w:ascii="Calibri" w:hAnsi="Calibri"/>
        </w:rPr>
        <w:t xml:space="preserve">need to be reported. </w:t>
      </w:r>
      <w:r>
        <w:rPr>
          <w:rFonts w:ascii="Calibri" w:hAnsi="Calibri"/>
        </w:rPr>
        <w:t>If not</w:t>
      </w:r>
      <w:r w:rsidRPr="009917A4">
        <w:rPr>
          <w:rFonts w:ascii="Calibri" w:hAnsi="Calibri"/>
        </w:rPr>
        <w:t>, schools with the exact same unsuppressed percentage would receive different point values, which would not be fair. For example, using hypothetical data:</w:t>
      </w:r>
    </w:p>
    <w:tbl>
      <w:tblPr>
        <w:tblW w:w="7515" w:type="dxa"/>
        <w:jc w:val="center"/>
        <w:tblCellMar>
          <w:left w:w="0" w:type="dxa"/>
          <w:right w:w="0" w:type="dxa"/>
        </w:tblCellMar>
        <w:tblLook w:val="04A0" w:firstRow="1" w:lastRow="0" w:firstColumn="1" w:lastColumn="0" w:noHBand="0" w:noVBand="1"/>
      </w:tblPr>
      <w:tblGrid>
        <w:gridCol w:w="1503"/>
        <w:gridCol w:w="1503"/>
        <w:gridCol w:w="1503"/>
        <w:gridCol w:w="1503"/>
        <w:gridCol w:w="1503"/>
      </w:tblGrid>
      <w:tr w:rsidR="002F298D" w14:paraId="08AE0849" w14:textId="77777777" w:rsidTr="008F77D5">
        <w:trPr>
          <w:trHeight w:val="439"/>
          <w:jc w:val="center"/>
        </w:trPr>
        <w:tc>
          <w:tcPr>
            <w:tcW w:w="1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9DCB1" w14:textId="77777777" w:rsidR="002F298D" w:rsidRDefault="002F298D" w:rsidP="00C7105E">
            <w:pPr>
              <w:jc w:val="center"/>
              <w:rPr>
                <w:color w:val="000000"/>
              </w:rPr>
            </w:pPr>
            <w:r>
              <w:rPr>
                <w:color w:val="000000"/>
              </w:rPr>
              <w:t>School</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449BE" w14:textId="77777777" w:rsidR="002F298D" w:rsidRDefault="002F298D" w:rsidP="00C7105E">
            <w:pPr>
              <w:jc w:val="center"/>
              <w:rPr>
                <w:color w:val="000000"/>
              </w:rPr>
            </w:pPr>
            <w:r>
              <w:rPr>
                <w:color w:val="000000"/>
              </w:rPr>
              <w:t># tested</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1DD6E3" w14:textId="77777777" w:rsidR="002F298D" w:rsidRDefault="002F298D" w:rsidP="00C7105E">
            <w:pPr>
              <w:jc w:val="center"/>
              <w:rPr>
                <w:color w:val="000000"/>
              </w:rPr>
            </w:pPr>
            <w:r>
              <w:rPr>
                <w:color w:val="000000"/>
              </w:rPr>
              <w:t># proficient</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C9ACA4" w14:textId="77777777" w:rsidR="002F298D" w:rsidRDefault="002F298D" w:rsidP="00C7105E">
            <w:pPr>
              <w:jc w:val="center"/>
              <w:rPr>
                <w:color w:val="000000"/>
              </w:rPr>
            </w:pPr>
            <w:r>
              <w:rPr>
                <w:color w:val="000000"/>
              </w:rPr>
              <w:t>Unsuppressed</w:t>
            </w:r>
            <w:r>
              <w:rPr>
                <w:color w:val="000000"/>
              </w:rPr>
              <w:br/>
              <w:t>% proficient</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0D1D1" w14:textId="77777777" w:rsidR="002F298D" w:rsidRDefault="002F298D" w:rsidP="00C7105E">
            <w:pPr>
              <w:jc w:val="center"/>
              <w:rPr>
                <w:color w:val="000000"/>
              </w:rPr>
            </w:pPr>
            <w:r w:rsidRPr="002A45EA">
              <w:rPr>
                <w:color w:val="000000"/>
              </w:rPr>
              <w:t>Reported</w:t>
            </w:r>
            <w:r w:rsidRPr="002A45EA">
              <w:rPr>
                <w:color w:val="000000"/>
              </w:rPr>
              <w:br/>
              <w:t>% proficient</w:t>
            </w:r>
          </w:p>
        </w:tc>
      </w:tr>
      <w:tr w:rsidR="002F298D" w14:paraId="40F19168"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808554" w14:textId="77777777" w:rsidR="002F298D" w:rsidRDefault="002F298D" w:rsidP="00C7105E">
            <w:pPr>
              <w:jc w:val="center"/>
              <w:rPr>
                <w:color w:val="000000"/>
              </w:rPr>
            </w:pPr>
            <w:r>
              <w:rPr>
                <w:color w:val="000000"/>
              </w:rPr>
              <w:t>School A</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87B2D2"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E3EAD2" w14:textId="77777777" w:rsidR="002F298D" w:rsidRDefault="002F298D" w:rsidP="00C7105E">
            <w:pPr>
              <w:jc w:val="center"/>
              <w:rPr>
                <w:color w:val="000000"/>
              </w:rPr>
            </w:pPr>
            <w:r>
              <w:rPr>
                <w:color w:val="000000"/>
              </w:rPr>
              <w:t>1</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B44D88"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0F530B" w14:textId="77777777" w:rsidR="002F298D" w:rsidRDefault="002F298D" w:rsidP="00C7105E">
            <w:pPr>
              <w:jc w:val="center"/>
              <w:rPr>
                <w:color w:val="000000"/>
              </w:rPr>
            </w:pPr>
            <w:r>
              <w:rPr>
                <w:color w:val="000000"/>
              </w:rPr>
              <w:t>≤20%</w:t>
            </w:r>
          </w:p>
        </w:tc>
      </w:tr>
      <w:tr w:rsidR="002F298D" w14:paraId="0EF986F9"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641668" w14:textId="77777777" w:rsidR="002F298D" w:rsidRDefault="002F298D" w:rsidP="00C7105E">
            <w:pPr>
              <w:jc w:val="center"/>
              <w:rPr>
                <w:color w:val="000000"/>
              </w:rPr>
            </w:pPr>
            <w:r>
              <w:rPr>
                <w:color w:val="000000"/>
              </w:rPr>
              <w:t>School B</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BC3C2B" w14:textId="77777777" w:rsidR="002F298D" w:rsidRDefault="002F298D" w:rsidP="00C7105E">
            <w:pPr>
              <w:jc w:val="center"/>
              <w:rPr>
                <w:color w:val="000000"/>
              </w:rPr>
            </w:pPr>
            <w:r>
              <w:rPr>
                <w:color w:val="000000"/>
              </w:rPr>
              <w:t>30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5D13CA" w14:textId="77777777" w:rsidR="002F298D" w:rsidRDefault="002F298D" w:rsidP="00C7105E">
            <w:pPr>
              <w:jc w:val="center"/>
              <w:rPr>
                <w:color w:val="000000"/>
              </w:rPr>
            </w:pPr>
            <w:r>
              <w:rPr>
                <w:color w:val="000000"/>
              </w:rPr>
              <w:t>3</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CD01E0"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DD1E1" w14:textId="77777777" w:rsidR="002F298D" w:rsidRDefault="002F298D" w:rsidP="00C7105E">
            <w:pPr>
              <w:jc w:val="center"/>
              <w:rPr>
                <w:color w:val="000000"/>
              </w:rPr>
            </w:pPr>
            <w:r>
              <w:rPr>
                <w:color w:val="000000"/>
              </w:rPr>
              <w:t>10%</w:t>
            </w:r>
          </w:p>
        </w:tc>
      </w:tr>
      <w:tr w:rsidR="002F298D" w14:paraId="6500B5FF"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BBB6F5" w14:textId="77777777" w:rsidR="002F298D" w:rsidRDefault="002F298D" w:rsidP="00C7105E">
            <w:pPr>
              <w:jc w:val="center"/>
              <w:rPr>
                <w:color w:val="000000"/>
              </w:rPr>
            </w:pPr>
            <w:r>
              <w:rPr>
                <w:color w:val="000000"/>
              </w:rPr>
              <w:t>School C</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6686D4" w14:textId="77777777" w:rsidR="002F298D" w:rsidRDefault="002F298D" w:rsidP="00C7105E">
            <w:pPr>
              <w:jc w:val="center"/>
              <w:rPr>
                <w:color w:val="000000"/>
              </w:rPr>
            </w:pPr>
            <w:r>
              <w:rPr>
                <w:color w:val="000000"/>
              </w:rPr>
              <w:t>100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4F6B33"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06ADB"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A0198B" w14:textId="77777777" w:rsidR="002F298D" w:rsidRDefault="002F298D" w:rsidP="00C7105E">
            <w:pPr>
              <w:jc w:val="center"/>
              <w:rPr>
                <w:color w:val="000000"/>
              </w:rPr>
            </w:pPr>
            <w:r>
              <w:rPr>
                <w:color w:val="000000"/>
              </w:rPr>
              <w:t>10%</w:t>
            </w:r>
          </w:p>
        </w:tc>
      </w:tr>
      <w:tr w:rsidR="002F298D" w14:paraId="73693414"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52E2EF" w14:textId="77777777" w:rsidR="002F298D" w:rsidRDefault="002F298D" w:rsidP="00C7105E">
            <w:pPr>
              <w:jc w:val="center"/>
              <w:rPr>
                <w:color w:val="000000"/>
              </w:rPr>
            </w:pPr>
            <w:r>
              <w:rPr>
                <w:color w:val="000000"/>
              </w:rPr>
              <w:t>School D</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D8C8DB" w14:textId="77777777" w:rsidR="002F298D" w:rsidRDefault="002F298D" w:rsidP="00C7105E">
            <w:pPr>
              <w:jc w:val="center"/>
              <w:rPr>
                <w:color w:val="000000"/>
              </w:rPr>
            </w:pPr>
            <w:r>
              <w:rPr>
                <w:color w:val="000000"/>
              </w:rPr>
              <w:t>10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E7830" w14:textId="77777777" w:rsidR="002F298D" w:rsidRDefault="002F298D" w:rsidP="00C7105E">
            <w:pPr>
              <w:jc w:val="center"/>
              <w:rPr>
                <w:color w:val="000000"/>
              </w:rPr>
            </w:pPr>
            <w:r>
              <w:rPr>
                <w:color w:val="000000"/>
              </w:rPr>
              <w:t>2</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75A260" w14:textId="77777777" w:rsidR="002F298D" w:rsidRDefault="002F298D" w:rsidP="00C7105E">
            <w:pPr>
              <w:jc w:val="center"/>
              <w:rPr>
                <w:color w:val="000000"/>
              </w:rPr>
            </w:pPr>
            <w:r>
              <w:rPr>
                <w:color w:val="000000"/>
              </w:rPr>
              <w:t>20%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E32E05" w14:textId="77777777" w:rsidR="002F298D" w:rsidRDefault="002F298D" w:rsidP="00C7105E">
            <w:pPr>
              <w:jc w:val="center"/>
              <w:rPr>
                <w:color w:val="000000"/>
              </w:rPr>
            </w:pPr>
            <w:r>
              <w:rPr>
                <w:color w:val="000000"/>
              </w:rPr>
              <w:t>≤20%</w:t>
            </w:r>
          </w:p>
        </w:tc>
      </w:tr>
      <w:tr w:rsidR="002F298D" w14:paraId="6389C58C"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FFE14C" w14:textId="77777777" w:rsidR="002F298D" w:rsidRDefault="002F298D" w:rsidP="00C7105E">
            <w:pPr>
              <w:jc w:val="center"/>
              <w:rPr>
                <w:color w:val="000000"/>
              </w:rPr>
            </w:pPr>
            <w:r>
              <w:rPr>
                <w:color w:val="000000"/>
              </w:rPr>
              <w:t>School E</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72E82A" w14:textId="77777777" w:rsidR="002F298D" w:rsidRDefault="002F298D" w:rsidP="00C7105E">
            <w:pPr>
              <w:jc w:val="center"/>
              <w:rPr>
                <w:color w:val="000000"/>
              </w:rPr>
            </w:pPr>
            <w:r>
              <w:rPr>
                <w:color w:val="000000"/>
              </w:rPr>
              <w:t>30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17F02" w14:textId="77777777" w:rsidR="002F298D" w:rsidRDefault="002F298D" w:rsidP="00C7105E">
            <w:pPr>
              <w:jc w:val="center"/>
              <w:rPr>
                <w:color w:val="000000"/>
              </w:rPr>
            </w:pPr>
            <w:r>
              <w:rPr>
                <w:color w:val="000000"/>
              </w:rPr>
              <w:t>6</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B22AD9" w14:textId="77777777" w:rsidR="002F298D" w:rsidRDefault="002F298D" w:rsidP="00C7105E">
            <w:pPr>
              <w:jc w:val="center"/>
              <w:rPr>
                <w:color w:val="000000"/>
              </w:rPr>
            </w:pPr>
            <w:r>
              <w:rPr>
                <w:color w:val="000000"/>
              </w:rPr>
              <w:t>20%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22865F" w14:textId="77777777" w:rsidR="002F298D" w:rsidRDefault="002F298D" w:rsidP="00C7105E">
            <w:pPr>
              <w:jc w:val="center"/>
              <w:rPr>
                <w:color w:val="000000"/>
              </w:rPr>
            </w:pPr>
            <w:r>
              <w:rPr>
                <w:color w:val="000000"/>
              </w:rPr>
              <w:t>20%</w:t>
            </w:r>
          </w:p>
        </w:tc>
      </w:tr>
      <w:tr w:rsidR="002F298D" w14:paraId="3FDE5782" w14:textId="77777777" w:rsidTr="008F77D5">
        <w:trPr>
          <w:trHeight w:val="219"/>
          <w:jc w:val="center"/>
        </w:trPr>
        <w:tc>
          <w:tcPr>
            <w:tcW w:w="1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6C804C" w14:textId="77777777" w:rsidR="002F298D" w:rsidRDefault="002F298D" w:rsidP="00C7105E">
            <w:pPr>
              <w:jc w:val="center"/>
              <w:rPr>
                <w:color w:val="000000"/>
              </w:rPr>
            </w:pPr>
            <w:r>
              <w:rPr>
                <w:color w:val="000000"/>
              </w:rPr>
              <w:t>School F</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82C7CA" w14:textId="77777777" w:rsidR="002F298D" w:rsidRDefault="002F298D" w:rsidP="00C7105E">
            <w:pPr>
              <w:jc w:val="center"/>
              <w:rPr>
                <w:color w:val="000000"/>
              </w:rPr>
            </w:pPr>
            <w:r>
              <w:rPr>
                <w:color w:val="000000"/>
              </w:rPr>
              <w:t>100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37649B" w14:textId="77777777" w:rsidR="002F298D" w:rsidRDefault="002F298D" w:rsidP="00C7105E">
            <w:pPr>
              <w:jc w:val="center"/>
              <w:rPr>
                <w:color w:val="000000"/>
              </w:rPr>
            </w:pPr>
            <w:r>
              <w:rPr>
                <w:color w:val="000000"/>
              </w:rPr>
              <w:t>20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1B4814" w14:textId="77777777" w:rsidR="002F298D" w:rsidRDefault="002F298D" w:rsidP="00C7105E">
            <w:pPr>
              <w:jc w:val="center"/>
              <w:rPr>
                <w:color w:val="000000"/>
              </w:rPr>
            </w:pPr>
            <w:r>
              <w:rPr>
                <w:color w:val="000000"/>
              </w:rPr>
              <w:t>20%</w:t>
            </w:r>
          </w:p>
        </w:tc>
        <w:tc>
          <w:tcPr>
            <w:tcW w:w="1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902D5" w14:textId="77777777" w:rsidR="002F298D" w:rsidRDefault="002F298D" w:rsidP="00C7105E">
            <w:pPr>
              <w:jc w:val="center"/>
              <w:rPr>
                <w:color w:val="000000"/>
              </w:rPr>
            </w:pPr>
            <w:r>
              <w:rPr>
                <w:color w:val="000000"/>
              </w:rPr>
              <w:t>20%</w:t>
            </w:r>
          </w:p>
        </w:tc>
      </w:tr>
    </w:tbl>
    <w:p w14:paraId="24578B9A" w14:textId="6BAC5FA3" w:rsidR="002F298D" w:rsidRDefault="002F298D" w:rsidP="00F96089">
      <w:pPr>
        <w:rPr>
          <w:rFonts w:ascii="Calibri" w:hAnsi="Calibri"/>
        </w:rPr>
      </w:pPr>
    </w:p>
    <w:p w14:paraId="46C1B634" w14:textId="1E58B1FE" w:rsidR="002F298D" w:rsidRDefault="002F298D" w:rsidP="002F298D">
      <w:pPr>
        <w:rPr>
          <w:rFonts w:ascii="Calibri" w:hAnsi="Calibri"/>
        </w:rPr>
      </w:pPr>
      <w:r w:rsidRPr="00777102">
        <w:rPr>
          <w:rFonts w:ascii="Calibri" w:hAnsi="Calibri"/>
        </w:rPr>
        <w:t xml:space="preserve">Schools A, B, and C </w:t>
      </w:r>
      <w:r>
        <w:rPr>
          <w:rFonts w:ascii="Calibri" w:hAnsi="Calibri"/>
        </w:rPr>
        <w:t xml:space="preserve">must be treated </w:t>
      </w:r>
      <w:r w:rsidRPr="00777102">
        <w:rPr>
          <w:rFonts w:ascii="Calibri" w:hAnsi="Calibri"/>
        </w:rPr>
        <w:t xml:space="preserve">the same. Schools D, E, and F </w:t>
      </w:r>
      <w:r>
        <w:rPr>
          <w:rFonts w:ascii="Calibri" w:hAnsi="Calibri"/>
        </w:rPr>
        <w:t xml:space="preserve">also must be treated </w:t>
      </w:r>
      <w:r w:rsidRPr="00777102">
        <w:rPr>
          <w:rFonts w:ascii="Calibri" w:hAnsi="Calibri"/>
        </w:rPr>
        <w:t xml:space="preserve">the </w:t>
      </w:r>
      <w:r w:rsidRPr="000706DA">
        <w:rPr>
          <w:rFonts w:ascii="Calibri" w:hAnsi="Calibri"/>
        </w:rPr>
        <w:t xml:space="preserve">same. Finally, </w:t>
      </w:r>
      <w:r w:rsidRPr="00777102">
        <w:rPr>
          <w:rFonts w:ascii="Calibri" w:hAnsi="Calibri"/>
        </w:rPr>
        <w:t xml:space="preserve">Schools A and D </w:t>
      </w:r>
      <w:r>
        <w:rPr>
          <w:rFonts w:ascii="Calibri" w:hAnsi="Calibri"/>
        </w:rPr>
        <w:t xml:space="preserve">must be treated </w:t>
      </w:r>
      <w:r w:rsidRPr="00777102">
        <w:rPr>
          <w:rFonts w:ascii="Calibri" w:hAnsi="Calibri"/>
        </w:rPr>
        <w:t>the same in order to avoid releasing exact counts of proficient students.</w:t>
      </w:r>
    </w:p>
    <w:p w14:paraId="5AF82E51" w14:textId="6CEFD522" w:rsidR="002F298D" w:rsidRDefault="002F298D" w:rsidP="002F298D">
      <w:pPr>
        <w:rPr>
          <w:rFonts w:ascii="Calibri" w:hAnsi="Calibri"/>
        </w:rPr>
      </w:pPr>
      <w:r>
        <w:rPr>
          <w:rFonts w:ascii="Calibri" w:hAnsi="Calibri"/>
        </w:rPr>
        <w:t xml:space="preserve">Using similar logic, </w:t>
      </w:r>
      <w:r w:rsidRPr="006772A6">
        <w:rPr>
          <w:rFonts w:ascii="Calibri" w:hAnsi="Calibri"/>
        </w:rPr>
        <w:t xml:space="preserve">a school will receive </w:t>
      </w:r>
      <w:r>
        <w:rPr>
          <w:rFonts w:ascii="Calibri" w:hAnsi="Calibri"/>
        </w:rPr>
        <w:t>100</w:t>
      </w:r>
      <w:r w:rsidRPr="006772A6">
        <w:rPr>
          <w:rFonts w:ascii="Calibri" w:hAnsi="Calibri"/>
        </w:rPr>
        <w:t xml:space="preserve"> points when the percentage is </w:t>
      </w:r>
      <w:r>
        <w:rPr>
          <w:rFonts w:ascii="Calibri" w:hAnsi="Calibri"/>
        </w:rPr>
        <w:t>80</w:t>
      </w:r>
      <w:r w:rsidRPr="006772A6">
        <w:rPr>
          <w:rFonts w:ascii="Calibri" w:hAnsi="Calibri"/>
        </w:rPr>
        <w:t xml:space="preserve"> percent or </w:t>
      </w:r>
      <w:r>
        <w:rPr>
          <w:rFonts w:ascii="Calibri" w:hAnsi="Calibri"/>
        </w:rPr>
        <w:t>higher</w:t>
      </w:r>
      <w:r w:rsidRPr="006772A6">
        <w:rPr>
          <w:rFonts w:ascii="Calibri" w:hAnsi="Calibri"/>
        </w:rPr>
        <w:t xml:space="preserve"> regardless of whether a percentage range needs to be reported</w:t>
      </w:r>
      <w:r>
        <w:rPr>
          <w:rFonts w:ascii="Calibri" w:hAnsi="Calibri"/>
        </w:rPr>
        <w:t xml:space="preserve">. One potential downside to allotting the same number of points to all schools with a range of performance values is the lack of differentiation among schools. Through analysis of 2017 assessment results, as of February 28, 2018, DEED has </w:t>
      </w:r>
      <w:r>
        <w:rPr>
          <w:rFonts w:ascii="Calibri" w:hAnsi="Calibri"/>
        </w:rPr>
        <w:lastRenderedPageBreak/>
        <w:t>confirmed a high degree of differentiation among schools not only for this indicator, but for the accountability system as a whole as well (save for the growth indicator described in Section A.4.iv.b.).</w:t>
      </w:r>
    </w:p>
    <w:p w14:paraId="7E15ACF8" w14:textId="77777777" w:rsidR="002F298D" w:rsidRDefault="002F298D" w:rsidP="002F298D">
      <w:pPr>
        <w:rPr>
          <w:rFonts w:ascii="Calibri" w:hAnsi="Calibri"/>
        </w:rPr>
      </w:pPr>
      <w:r>
        <w:rPr>
          <w:rFonts w:ascii="Calibri" w:hAnsi="Calibri"/>
        </w:rPr>
        <w:t>Overall, accounting for student privacy in this manner will be referred to as the “80/20 rule” from this point forward.</w:t>
      </w:r>
    </w:p>
    <w:p w14:paraId="1EA3313C" w14:textId="77777777" w:rsidR="002F298D" w:rsidRPr="00E146EB" w:rsidRDefault="002F298D" w:rsidP="002F298D">
      <w:pPr>
        <w:rPr>
          <w:rFonts w:ascii="Calibri" w:hAnsi="Calibri"/>
          <w:b/>
        </w:rPr>
      </w:pPr>
      <w:r w:rsidRPr="00E146EB">
        <w:rPr>
          <w:rFonts w:ascii="Calibri" w:hAnsi="Calibri"/>
          <w:b/>
        </w:rPr>
        <w:t>Academic Achievement Indicator: Schools that Serve Grade 12</w:t>
      </w:r>
    </w:p>
    <w:p w14:paraId="4EDDE734" w14:textId="6CADE8C2" w:rsidR="002F298D" w:rsidRDefault="002F298D" w:rsidP="00F96089">
      <w:pPr>
        <w:rPr>
          <w:rFonts w:ascii="Calibri" w:hAnsi="Calibri"/>
        </w:rPr>
      </w:pPr>
      <w:r>
        <w:rPr>
          <w:rFonts w:ascii="Calibri" w:hAnsi="Calibri"/>
        </w:rPr>
        <w:t>For schools that serve grade 12, the Academic Achievement indicator will incorporate</w:t>
      </w:r>
      <w:r w:rsidRPr="001930E5">
        <w:rPr>
          <w:rFonts w:ascii="Calibri" w:hAnsi="Calibri"/>
        </w:rPr>
        <w:t xml:space="preserve"> student growth, as measured by the annual </w:t>
      </w:r>
      <w:r>
        <w:rPr>
          <w:rFonts w:ascii="Calibri" w:hAnsi="Calibri"/>
        </w:rPr>
        <w:t>statewide</w:t>
      </w:r>
      <w:r w:rsidRPr="001930E5">
        <w:rPr>
          <w:rFonts w:ascii="Calibri" w:hAnsi="Calibri"/>
        </w:rPr>
        <w:t xml:space="preserve"> </w:t>
      </w:r>
      <w:r>
        <w:rPr>
          <w:rFonts w:ascii="Calibri" w:hAnsi="Calibri"/>
        </w:rPr>
        <w:t xml:space="preserve">English </w:t>
      </w:r>
      <w:r w:rsidRPr="001930E5">
        <w:rPr>
          <w:rFonts w:ascii="Calibri" w:hAnsi="Calibri"/>
        </w:rPr>
        <w:t>language arts and mathematics assessments</w:t>
      </w:r>
      <w:r>
        <w:rPr>
          <w:rFonts w:ascii="Calibri" w:hAnsi="Calibri"/>
        </w:rPr>
        <w:t xml:space="preserve"> described in Section A.4.iv.b. Schools serving grade 12 </w:t>
      </w:r>
      <w:r w:rsidRPr="00FE7C5B">
        <w:rPr>
          <w:rFonts w:ascii="Calibri" w:hAnsi="Calibri"/>
        </w:rPr>
        <w:t xml:space="preserve">will earn </w:t>
      </w:r>
      <w:r>
        <w:rPr>
          <w:rFonts w:ascii="Calibri" w:hAnsi="Calibri"/>
        </w:rPr>
        <w:t xml:space="preserve">1.) </w:t>
      </w:r>
      <w:proofErr w:type="gramStart"/>
      <w:r>
        <w:rPr>
          <w:rFonts w:ascii="Calibri" w:hAnsi="Calibri"/>
        </w:rPr>
        <w:t>between</w:t>
      </w:r>
      <w:proofErr w:type="gramEnd"/>
      <w:r>
        <w:rPr>
          <w:rFonts w:ascii="Calibri" w:hAnsi="Calibri"/>
        </w:rPr>
        <w:t xml:space="preserve"> zero and 100 </w:t>
      </w:r>
      <w:r w:rsidRPr="00FE7C5B">
        <w:rPr>
          <w:rFonts w:ascii="Calibri" w:hAnsi="Calibri"/>
        </w:rPr>
        <w:t>points equal to the percentage of students scoring at the proficient or advanced achievement levels on the statewide assessments in ELA and mathematics</w:t>
      </w:r>
      <w:r>
        <w:rPr>
          <w:rFonts w:ascii="Calibri" w:hAnsi="Calibri"/>
        </w:rPr>
        <w:t xml:space="preserve">; and 2.) </w:t>
      </w:r>
      <w:proofErr w:type="gramStart"/>
      <w:r w:rsidRPr="00FE7C5B">
        <w:rPr>
          <w:rFonts w:ascii="Calibri" w:hAnsi="Calibri"/>
        </w:rPr>
        <w:t>between</w:t>
      </w:r>
      <w:proofErr w:type="gramEnd"/>
      <w:r w:rsidRPr="00FE7C5B">
        <w:rPr>
          <w:rFonts w:ascii="Calibri" w:hAnsi="Calibri"/>
        </w:rPr>
        <w:t xml:space="preserve"> zero and 100 points equal to the percentage of students meeting their growth targets in ELA and mathematics</w:t>
      </w:r>
      <w:r>
        <w:rPr>
          <w:rFonts w:ascii="Calibri" w:hAnsi="Calibri"/>
        </w:rPr>
        <w:t xml:space="preserve"> as described in </w:t>
      </w:r>
      <w:r w:rsidRPr="00D125B9">
        <w:rPr>
          <w:rFonts w:ascii="Calibri" w:hAnsi="Calibri"/>
        </w:rPr>
        <w:t>Section A.4.iv.b.</w:t>
      </w:r>
      <w:r>
        <w:rPr>
          <w:rFonts w:ascii="Calibri" w:hAnsi="Calibri"/>
        </w:rPr>
        <w:t xml:space="preserve"> The final Academic Achievement indicator score for each subject for schools serving grade 12 will consist of one-third of calculation #1 and two-thirds of calculation #2 described in the previous sentence.</w:t>
      </w:r>
    </w:p>
    <w:p w14:paraId="101806FA" w14:textId="4127F31A" w:rsidR="00B1049D" w:rsidRPr="008903CE" w:rsidRDefault="00B1049D" w:rsidP="006641B6">
      <w:pPr>
        <w:pStyle w:val="ListParagraph"/>
        <w:numPr>
          <w:ilvl w:val="0"/>
          <w:numId w:val="93"/>
        </w:numPr>
        <w:ind w:left="1440"/>
        <w:rPr>
          <w:rStyle w:val="Strong"/>
          <w:rFonts w:cstheme="minorHAnsi"/>
          <w:b w:val="0"/>
        </w:rPr>
      </w:pPr>
      <w:r w:rsidRPr="008903CE">
        <w:rPr>
          <w:rStyle w:val="Strong"/>
          <w:rFonts w:cstheme="minorHAnsi"/>
          <w:b w:val="0"/>
        </w:rPr>
        <w:t xml:space="preserve">Indicator for Public Elementary and Secondary Schools that are Not High Schools (Other Academic Indicator). Describe the Other Academic indicator, including how it annually measures the performance for all students and separately for each subgroup of students. If the Other Academic indicator is not a measure of student growth, the description must include a demonstration that the indicator is a valid and reliable statewide academic indicator that allows for meaningful differentiation in school performance. </w:t>
      </w:r>
    </w:p>
    <w:p w14:paraId="2BCF499F" w14:textId="77777777" w:rsidR="00B1049D" w:rsidRDefault="00B1049D" w:rsidP="008903CE">
      <w:r w:rsidRPr="001A3F6D">
        <w:t xml:space="preserve">Alaska will use academic growth on </w:t>
      </w:r>
      <w:r>
        <w:t xml:space="preserve">the statewide assessments in ELA and math </w:t>
      </w:r>
      <w:r w:rsidRPr="001A3F6D">
        <w:t>as the Other Academic indicator for students in grades 4-</w:t>
      </w:r>
      <w:r>
        <w:t>9</w:t>
      </w:r>
      <w:r w:rsidRPr="001A3F6D">
        <w:t>.</w:t>
      </w:r>
      <w:r>
        <w:t xml:space="preserve"> </w:t>
      </w:r>
      <w:r w:rsidRPr="009917A4">
        <w:t xml:space="preserve">This indicator will </w:t>
      </w:r>
      <w:r>
        <w:t>be calculated</w:t>
      </w:r>
      <w:r w:rsidRPr="009917A4">
        <w:t xml:space="preserve"> for the </w:t>
      </w:r>
      <w:r>
        <w:t xml:space="preserve">grades </w:t>
      </w:r>
      <w:r w:rsidRPr="009917A4">
        <w:t xml:space="preserve">K-6 and </w:t>
      </w:r>
      <w:r>
        <w:t xml:space="preserve">grades </w:t>
      </w:r>
      <w:r w:rsidRPr="009917A4">
        <w:t>7</w:t>
      </w:r>
      <w:r>
        <w:t xml:space="preserve"> and above </w:t>
      </w:r>
      <w:r w:rsidRPr="009917A4">
        <w:t>portions of the accountability system.</w:t>
      </w:r>
    </w:p>
    <w:p w14:paraId="4A481EAB" w14:textId="77777777" w:rsidR="00B1049D" w:rsidRDefault="00B1049D" w:rsidP="008903CE">
      <w:r>
        <w:t>The Alaska State Board of Education and Early Development adopted the rigorous Alaska English Language Arts and Mathematics Standards in 2012. Students first took an assessment aligned to these standards in 2015 – the Alaska Measures of Progress (AMP). In 2016, DEED canceled the general and alternate assessments due to numerous technical difficulties associated with the computer-based assessment. The vendor reported no valid scores. In 2017, Alaska transitioned to a new vendor and assessment – Performance Evaluation for Alaska’s Schools (PEAKS). DEED will administer PEAKS again in 2018, and the department looks forward to continued stability in the assessment system.</w:t>
      </w:r>
    </w:p>
    <w:p w14:paraId="4BCD7204" w14:textId="77777777" w:rsidR="00B1049D" w:rsidRDefault="00B1049D" w:rsidP="008903CE">
      <w:r>
        <w:rPr>
          <w:spacing w:val="-2"/>
        </w:rPr>
        <w:t>A</w:t>
      </w:r>
      <w:r w:rsidRPr="001A3F6D">
        <w:rPr>
          <w:spacing w:val="-2"/>
        </w:rPr>
        <w:t xml:space="preserve"> value table </w:t>
      </w:r>
      <w:r>
        <w:rPr>
          <w:spacing w:val="-2"/>
        </w:rPr>
        <w:t>was</w:t>
      </w:r>
      <w:r w:rsidRPr="001A3F6D">
        <w:rPr>
          <w:spacing w:val="-2"/>
        </w:rPr>
        <w:t xml:space="preserve"> used in Alaska for a number of years. Most recently, the value table was included in the Alaska School Performance Index (ASPI) as the school progress indicator.</w:t>
      </w:r>
      <w:r>
        <w:rPr>
          <w:spacing w:val="-2"/>
        </w:rPr>
        <w:t xml:space="preserve"> The primary challenge with the value table, though, was the misinterpretation of school-level scores in ASPI. To make this indicator actionable for schools and districts, and meaningful for all stakeholders, DEED will modify the existing value table.</w:t>
      </w:r>
    </w:p>
    <w:p w14:paraId="239BF2E0" w14:textId="77777777" w:rsidR="00B1049D" w:rsidRPr="00546C89" w:rsidRDefault="00B1049D" w:rsidP="008903CE">
      <w:r w:rsidRPr="00546C89">
        <w:t xml:space="preserve">A student taking PEAKS receives a scale score and one of four achievement levels (“four-way status”). The current version of the value table splits the lowest three achievement levels into two categories, leaving Advanced alone. Under this system, a student’s scale score fell into one of seven categories. </w:t>
      </w:r>
      <w:r>
        <w:t xml:space="preserve">Alaska will also split </w:t>
      </w:r>
      <w:r w:rsidRPr="00546C89">
        <w:t>Advanced into two categories. Under this system, a student’s scale score will fall into one of eight categories (“eight-way status”).</w:t>
      </w:r>
    </w:p>
    <w:p w14:paraId="781867C9" w14:textId="4CAC72C4" w:rsidR="00B1049D" w:rsidRPr="00EE1C37" w:rsidRDefault="00B1049D" w:rsidP="008903CE">
      <w:r>
        <w:lastRenderedPageBreak/>
        <w:t>In addition</w:t>
      </w:r>
      <w:r w:rsidRPr="00546C89">
        <w:t xml:space="preserve">, Alaska </w:t>
      </w:r>
      <w:r>
        <w:t>will</w:t>
      </w:r>
      <w:r w:rsidRPr="00546C89">
        <w:t xml:space="preserve"> shift from point values to binary values</w:t>
      </w:r>
      <w:r>
        <w:t xml:space="preserve"> that indicate whether each student met their growth target</w:t>
      </w:r>
      <w:r w:rsidRPr="00546C89">
        <w:t xml:space="preserve">. The growth indicator for school accountability </w:t>
      </w:r>
      <w:r>
        <w:t>will</w:t>
      </w:r>
      <w:r w:rsidRPr="00546C89">
        <w:t xml:space="preserve"> be calculated by dividing the number of</w:t>
      </w:r>
      <w:r>
        <w:t xml:space="preserve"> eligible students meeting their growth targets</w:t>
      </w:r>
      <w:r w:rsidRPr="00546C89">
        <w:t xml:space="preserve"> by the number of students eligible to be counted. </w:t>
      </w:r>
      <w:r>
        <w:t xml:space="preserve">Except for the 80/20 rule described in Section A.4.iv.a., </w:t>
      </w:r>
      <w:r w:rsidRPr="004E2487">
        <w:t xml:space="preserve">schools will earn </w:t>
      </w:r>
      <w:r>
        <w:t xml:space="preserve">between zero and 100 </w:t>
      </w:r>
      <w:r w:rsidRPr="004E2487">
        <w:t xml:space="preserve">points equal to the percentage of students </w:t>
      </w:r>
      <w:r>
        <w:t xml:space="preserve">meeting their growth targets </w:t>
      </w:r>
      <w:r w:rsidRPr="004E2487">
        <w:t>in English language arts (ELA) and mathematics.</w:t>
      </w:r>
      <w:r>
        <w:t xml:space="preserve"> </w:t>
      </w:r>
      <w:r w:rsidRPr="006514B0">
        <w:t xml:space="preserve">This indicator will </w:t>
      </w:r>
      <w:r>
        <w:t>be calculated</w:t>
      </w:r>
      <w:r w:rsidRPr="006514B0">
        <w:t xml:space="preserve"> for the K-6 and 7-12 portions of the accountability system.</w:t>
      </w:r>
    </w:p>
    <w:p w14:paraId="2ABB5981" w14:textId="77777777" w:rsidR="00B1049D" w:rsidRPr="00546C89" w:rsidRDefault="00B1049D" w:rsidP="008903CE">
      <w:r w:rsidRPr="00546C89">
        <w:t>A student is eligible to be counted if:</w:t>
      </w:r>
    </w:p>
    <w:p w14:paraId="70657EFB" w14:textId="723E8209" w:rsidR="00B1049D" w:rsidRDefault="00B1049D" w:rsidP="006641B6">
      <w:pPr>
        <w:pStyle w:val="ListParagraph"/>
        <w:numPr>
          <w:ilvl w:val="0"/>
          <w:numId w:val="94"/>
        </w:numPr>
      </w:pPr>
      <w:r w:rsidRPr="00495039">
        <w:t>The student received valid scores in the previous and current years;</w:t>
      </w:r>
    </w:p>
    <w:p w14:paraId="00C54A37" w14:textId="1E0A6847" w:rsidR="00B1049D" w:rsidRDefault="00B1049D" w:rsidP="006641B6">
      <w:pPr>
        <w:pStyle w:val="ListParagraph"/>
        <w:numPr>
          <w:ilvl w:val="0"/>
          <w:numId w:val="94"/>
        </w:numPr>
      </w:pPr>
      <w:r w:rsidRPr="00495039">
        <w:t>The student had natural grade progression; and</w:t>
      </w:r>
    </w:p>
    <w:p w14:paraId="2BBCCA2B" w14:textId="56D27186" w:rsidR="00B1049D" w:rsidRPr="000706DA" w:rsidRDefault="00B1049D" w:rsidP="006641B6">
      <w:pPr>
        <w:pStyle w:val="ListParagraph"/>
        <w:numPr>
          <w:ilvl w:val="0"/>
          <w:numId w:val="94"/>
        </w:numPr>
      </w:pPr>
      <w:r w:rsidRPr="00495039">
        <w:t>The student was enrolled for the full academic year in the current year</w:t>
      </w:r>
      <w:r w:rsidRPr="00D0654D">
        <w:t>.</w:t>
      </w:r>
    </w:p>
    <w:p w14:paraId="04A49138" w14:textId="77777777" w:rsidR="00B1049D" w:rsidRDefault="00B1049D" w:rsidP="008903CE">
      <w:r>
        <w:t>DEED designed the revised value table shown below so a student will make adequate growth by:</w:t>
      </w:r>
    </w:p>
    <w:p w14:paraId="3863B5CC" w14:textId="318C4E90" w:rsidR="00B1049D" w:rsidRDefault="00B1049D" w:rsidP="006641B6">
      <w:pPr>
        <w:pStyle w:val="ListParagraph"/>
        <w:numPr>
          <w:ilvl w:val="0"/>
          <w:numId w:val="95"/>
        </w:numPr>
      </w:pPr>
      <w:r w:rsidRPr="00495039">
        <w:t xml:space="preserve">Retaining </w:t>
      </w:r>
      <w:r w:rsidRPr="00D0654D">
        <w:t>or improving the</w:t>
      </w:r>
      <w:r w:rsidRPr="000706DA">
        <w:t xml:space="preserve">ir </w:t>
      </w:r>
      <w:r w:rsidRPr="00A72A19">
        <w:t xml:space="preserve">four-way status between the previous and current years if the student was </w:t>
      </w:r>
      <w:r w:rsidRPr="00C24FFC">
        <w:t xml:space="preserve">Proficient or higher in the previous year; </w:t>
      </w:r>
      <w:r w:rsidRPr="00C73D2E">
        <w:t>or</w:t>
      </w:r>
    </w:p>
    <w:p w14:paraId="644227E4" w14:textId="17F71640" w:rsidR="00B1049D" w:rsidRDefault="00B1049D" w:rsidP="006641B6">
      <w:pPr>
        <w:pStyle w:val="ListParagraph"/>
        <w:numPr>
          <w:ilvl w:val="0"/>
          <w:numId w:val="95"/>
        </w:numPr>
      </w:pPr>
      <w:r w:rsidRPr="00495039">
        <w:t xml:space="preserve">Improving their eight-way status between </w:t>
      </w:r>
      <w:r w:rsidRPr="00D0654D">
        <w:t xml:space="preserve">the previous or current years </w:t>
      </w:r>
      <w:r w:rsidRPr="000706DA">
        <w:t xml:space="preserve">if </w:t>
      </w:r>
      <w:r w:rsidRPr="00A72A19">
        <w:t xml:space="preserve">the student was </w:t>
      </w:r>
      <w:r w:rsidRPr="00C24FFC">
        <w:t>Below Proficient or lower in the previous year.</w:t>
      </w:r>
    </w:p>
    <w:p w14:paraId="0F3A2735" w14:textId="1C6A3187" w:rsidR="00B1049D" w:rsidRDefault="00B1049D" w:rsidP="00F96089">
      <w:pPr>
        <w:rPr>
          <w:rFonts w:ascii="Calibri" w:hAnsi="Calibri"/>
        </w:rPr>
      </w:pPr>
      <w:r>
        <w:t>In the following table, each check mark represents an example of meeting a growth target in the current year based on performance in the previous year.</w:t>
      </w:r>
    </w:p>
    <w:tbl>
      <w:tblPr>
        <w:tblW w:w="9363" w:type="dxa"/>
        <w:jc w:val="center"/>
        <w:tblLook w:val="04A0" w:firstRow="1" w:lastRow="0" w:firstColumn="1" w:lastColumn="0" w:noHBand="0" w:noVBand="1"/>
      </w:tblPr>
      <w:tblGrid>
        <w:gridCol w:w="1153"/>
        <w:gridCol w:w="1156"/>
        <w:gridCol w:w="1217"/>
        <w:gridCol w:w="1006"/>
        <w:gridCol w:w="1067"/>
        <w:gridCol w:w="941"/>
        <w:gridCol w:w="941"/>
        <w:gridCol w:w="941"/>
        <w:gridCol w:w="941"/>
      </w:tblGrid>
      <w:tr w:rsidR="00EE1C37" w:rsidRPr="00EE1C37" w14:paraId="1E81C528" w14:textId="77777777" w:rsidTr="00EE1C37">
        <w:trPr>
          <w:trHeight w:val="215"/>
          <w:jc w:val="center"/>
        </w:trPr>
        <w:tc>
          <w:tcPr>
            <w:tcW w:w="1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FC978" w14:textId="496C7C09"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Previous Year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1BF103F2" w14:textId="36461A65"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FBP Low</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08311E6E" w14:textId="57602E8C"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FBP High</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5F690853" w14:textId="01D12528"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BP Low</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5B7131FD" w14:textId="1B6DB7C4"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BP High</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2097AEF3" w14:textId="7000C5DF"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P Low</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61F534D" w14:textId="6A6E2FF5"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P High</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2ACBA590" w14:textId="1BEB84A0"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A Low</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19B5110" w14:textId="46CCCE87" w:rsidR="00B1049D" w:rsidRPr="00EE1C37" w:rsidRDefault="00B1049D" w:rsidP="00EE1C37">
            <w:pPr>
              <w:spacing w:after="0" w:line="240" w:lineRule="auto"/>
              <w:jc w:val="center"/>
              <w:rPr>
                <w:rFonts w:ascii="Calibri" w:eastAsia="Times New Roman" w:hAnsi="Calibri" w:cs="Times New Roman"/>
                <w:color w:val="000000"/>
              </w:rPr>
            </w:pPr>
            <w:r w:rsidRPr="00EE1C37">
              <w:rPr>
                <w:rFonts w:ascii="Calibri" w:eastAsia="Times New Roman" w:hAnsi="Calibri" w:cs="Times New Roman"/>
                <w:color w:val="000000"/>
              </w:rPr>
              <w:t xml:space="preserve">Current Year </w:t>
            </w:r>
            <w:r w:rsidRPr="00EE1C37">
              <w:rPr>
                <w:rFonts w:ascii="Calibri" w:eastAsia="Times New Roman" w:hAnsi="Calibri" w:cs="Times New Roman"/>
                <w:color w:val="000000"/>
              </w:rPr>
              <w:br/>
              <w:t>A High</w:t>
            </w:r>
          </w:p>
        </w:tc>
      </w:tr>
      <w:tr w:rsidR="00B1049D" w:rsidRPr="00CF5274" w14:paraId="688911A5"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73754A0C"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FBP Low</w:t>
            </w:r>
          </w:p>
        </w:tc>
        <w:tc>
          <w:tcPr>
            <w:tcW w:w="1156" w:type="dxa"/>
            <w:tcBorders>
              <w:top w:val="nil"/>
              <w:left w:val="nil"/>
              <w:bottom w:val="single" w:sz="4" w:space="0" w:color="auto"/>
              <w:right w:val="single" w:sz="4" w:space="0" w:color="auto"/>
            </w:tcBorders>
            <w:shd w:val="clear" w:color="auto" w:fill="auto"/>
            <w:noWrap/>
            <w:vAlign w:val="center"/>
            <w:hideMark/>
          </w:tcPr>
          <w:p w14:paraId="75A6A93D"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15B7852B"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1006" w:type="dxa"/>
            <w:tcBorders>
              <w:top w:val="nil"/>
              <w:left w:val="nil"/>
              <w:bottom w:val="single" w:sz="4" w:space="0" w:color="auto"/>
              <w:right w:val="single" w:sz="4" w:space="0" w:color="auto"/>
            </w:tcBorders>
            <w:shd w:val="clear" w:color="auto" w:fill="auto"/>
            <w:noWrap/>
            <w:vAlign w:val="center"/>
            <w:hideMark/>
          </w:tcPr>
          <w:p w14:paraId="3C7C8DC6"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1067" w:type="dxa"/>
            <w:tcBorders>
              <w:top w:val="nil"/>
              <w:left w:val="nil"/>
              <w:bottom w:val="single" w:sz="4" w:space="0" w:color="auto"/>
              <w:right w:val="single" w:sz="4" w:space="0" w:color="auto"/>
            </w:tcBorders>
            <w:shd w:val="clear" w:color="auto" w:fill="auto"/>
            <w:noWrap/>
            <w:vAlign w:val="center"/>
            <w:hideMark/>
          </w:tcPr>
          <w:p w14:paraId="1157C5E4"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6F4F70F3"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55AD1229"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6B9EA0B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3F883C96"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106B4E52"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6D76C7E5"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FBP High</w:t>
            </w:r>
          </w:p>
        </w:tc>
        <w:tc>
          <w:tcPr>
            <w:tcW w:w="1156" w:type="dxa"/>
            <w:tcBorders>
              <w:top w:val="nil"/>
              <w:left w:val="nil"/>
              <w:bottom w:val="single" w:sz="4" w:space="0" w:color="auto"/>
              <w:right w:val="single" w:sz="4" w:space="0" w:color="auto"/>
            </w:tcBorders>
            <w:shd w:val="clear" w:color="auto" w:fill="auto"/>
            <w:noWrap/>
            <w:vAlign w:val="center"/>
            <w:hideMark/>
          </w:tcPr>
          <w:p w14:paraId="00DF9E0C"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1DBEDD98"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3E47E2A4"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1067" w:type="dxa"/>
            <w:tcBorders>
              <w:top w:val="nil"/>
              <w:left w:val="nil"/>
              <w:bottom w:val="single" w:sz="4" w:space="0" w:color="auto"/>
              <w:right w:val="single" w:sz="4" w:space="0" w:color="auto"/>
            </w:tcBorders>
            <w:shd w:val="clear" w:color="auto" w:fill="auto"/>
            <w:noWrap/>
            <w:vAlign w:val="center"/>
            <w:hideMark/>
          </w:tcPr>
          <w:p w14:paraId="66CE8B6C"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1CC7AEAA"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33846FF9"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AC8707B"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690146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5199BA39"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7FA85B5A"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BP Low</w:t>
            </w:r>
          </w:p>
        </w:tc>
        <w:tc>
          <w:tcPr>
            <w:tcW w:w="1156" w:type="dxa"/>
            <w:tcBorders>
              <w:top w:val="nil"/>
              <w:left w:val="nil"/>
              <w:bottom w:val="single" w:sz="4" w:space="0" w:color="auto"/>
              <w:right w:val="single" w:sz="4" w:space="0" w:color="auto"/>
            </w:tcBorders>
            <w:shd w:val="clear" w:color="auto" w:fill="auto"/>
            <w:noWrap/>
            <w:vAlign w:val="center"/>
            <w:hideMark/>
          </w:tcPr>
          <w:p w14:paraId="78C59B68"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4FE7CD9B"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0AC791A6"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252B34B8"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05923F27"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568D7982"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0C7B4EDD"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18D3791"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0313C813"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118A02FD"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BP High</w:t>
            </w:r>
          </w:p>
        </w:tc>
        <w:tc>
          <w:tcPr>
            <w:tcW w:w="1156" w:type="dxa"/>
            <w:tcBorders>
              <w:top w:val="nil"/>
              <w:left w:val="nil"/>
              <w:bottom w:val="single" w:sz="4" w:space="0" w:color="auto"/>
              <w:right w:val="single" w:sz="4" w:space="0" w:color="auto"/>
            </w:tcBorders>
            <w:shd w:val="clear" w:color="auto" w:fill="auto"/>
            <w:noWrap/>
            <w:vAlign w:val="center"/>
            <w:hideMark/>
          </w:tcPr>
          <w:p w14:paraId="76A1550F"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264926A6"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5F5C6E11"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77F7721E"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6AE1D0F9"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41AC5D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42247371"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0B6D81A8"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33491353"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28EF43AA"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P Low</w:t>
            </w:r>
          </w:p>
        </w:tc>
        <w:tc>
          <w:tcPr>
            <w:tcW w:w="1156" w:type="dxa"/>
            <w:tcBorders>
              <w:top w:val="nil"/>
              <w:left w:val="nil"/>
              <w:bottom w:val="single" w:sz="4" w:space="0" w:color="auto"/>
              <w:right w:val="single" w:sz="4" w:space="0" w:color="auto"/>
            </w:tcBorders>
            <w:shd w:val="clear" w:color="auto" w:fill="auto"/>
            <w:noWrap/>
            <w:vAlign w:val="center"/>
            <w:hideMark/>
          </w:tcPr>
          <w:p w14:paraId="7E03A487"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6CCBC2BB"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5FFA6B28"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24EDB4AD"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4E390DD7"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DD4C56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66A5C127"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FEFF2F8"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63FBE053"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15771B1D"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P High</w:t>
            </w:r>
          </w:p>
        </w:tc>
        <w:tc>
          <w:tcPr>
            <w:tcW w:w="1156" w:type="dxa"/>
            <w:tcBorders>
              <w:top w:val="nil"/>
              <w:left w:val="nil"/>
              <w:bottom w:val="single" w:sz="4" w:space="0" w:color="auto"/>
              <w:right w:val="single" w:sz="4" w:space="0" w:color="auto"/>
            </w:tcBorders>
            <w:shd w:val="clear" w:color="auto" w:fill="auto"/>
            <w:noWrap/>
            <w:vAlign w:val="center"/>
            <w:hideMark/>
          </w:tcPr>
          <w:p w14:paraId="1557F7B6"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6AC6C23A"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6616255A"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7AA3D851"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7AAE8778"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1490041A"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73FA1682"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5C3E7ADA"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05432571"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50D9B5E7"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A Low</w:t>
            </w:r>
          </w:p>
        </w:tc>
        <w:tc>
          <w:tcPr>
            <w:tcW w:w="1156" w:type="dxa"/>
            <w:tcBorders>
              <w:top w:val="nil"/>
              <w:left w:val="nil"/>
              <w:bottom w:val="single" w:sz="4" w:space="0" w:color="auto"/>
              <w:right w:val="single" w:sz="4" w:space="0" w:color="auto"/>
            </w:tcBorders>
            <w:shd w:val="clear" w:color="auto" w:fill="auto"/>
            <w:noWrap/>
            <w:vAlign w:val="center"/>
            <w:hideMark/>
          </w:tcPr>
          <w:p w14:paraId="4B245262"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4B794FEB"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07FBCDCE"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62130CBC"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0FDC6B48"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160C5A9D"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72FCE803"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6B5DB70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r w:rsidR="00B1049D" w:rsidRPr="00CF5274" w14:paraId="1471032F" w14:textId="77777777" w:rsidTr="00EE1C37">
        <w:trPr>
          <w:trHeight w:val="215"/>
          <w:jc w:val="center"/>
        </w:trPr>
        <w:tc>
          <w:tcPr>
            <w:tcW w:w="1153" w:type="dxa"/>
            <w:tcBorders>
              <w:top w:val="nil"/>
              <w:left w:val="single" w:sz="4" w:space="0" w:color="auto"/>
              <w:bottom w:val="single" w:sz="4" w:space="0" w:color="auto"/>
              <w:right w:val="single" w:sz="4" w:space="0" w:color="auto"/>
            </w:tcBorders>
            <w:shd w:val="clear" w:color="auto" w:fill="auto"/>
            <w:noWrap/>
            <w:vAlign w:val="center"/>
            <w:hideMark/>
          </w:tcPr>
          <w:p w14:paraId="7C0025CE" w14:textId="77777777" w:rsidR="00B1049D" w:rsidRPr="00EE1C37" w:rsidRDefault="00B1049D" w:rsidP="00C7105E">
            <w:pPr>
              <w:jc w:val="center"/>
              <w:rPr>
                <w:rFonts w:ascii="Calibri" w:eastAsia="Times New Roman" w:hAnsi="Calibri" w:cs="Times New Roman"/>
                <w:color w:val="000000"/>
              </w:rPr>
            </w:pPr>
            <w:r w:rsidRPr="00EE1C37">
              <w:rPr>
                <w:rFonts w:ascii="Calibri" w:eastAsia="Times New Roman" w:hAnsi="Calibri" w:cs="Times New Roman"/>
                <w:color w:val="000000"/>
              </w:rPr>
              <w:t>A High</w:t>
            </w:r>
          </w:p>
        </w:tc>
        <w:tc>
          <w:tcPr>
            <w:tcW w:w="1156" w:type="dxa"/>
            <w:tcBorders>
              <w:top w:val="nil"/>
              <w:left w:val="nil"/>
              <w:bottom w:val="single" w:sz="4" w:space="0" w:color="auto"/>
              <w:right w:val="single" w:sz="4" w:space="0" w:color="auto"/>
            </w:tcBorders>
            <w:shd w:val="clear" w:color="auto" w:fill="auto"/>
            <w:noWrap/>
            <w:vAlign w:val="center"/>
            <w:hideMark/>
          </w:tcPr>
          <w:p w14:paraId="2CB75429" w14:textId="77777777" w:rsidR="00B1049D" w:rsidRPr="00CF5274" w:rsidRDefault="00B1049D" w:rsidP="00C7105E">
            <w:pPr>
              <w:jc w:val="center"/>
              <w:rPr>
                <w:rFonts w:ascii="Calibri" w:eastAsia="Times New Roman" w:hAnsi="Calibri" w:cs="Times New Roman"/>
                <w:color w:val="000000"/>
              </w:rPr>
            </w:pPr>
          </w:p>
        </w:tc>
        <w:tc>
          <w:tcPr>
            <w:tcW w:w="1217" w:type="dxa"/>
            <w:tcBorders>
              <w:top w:val="nil"/>
              <w:left w:val="nil"/>
              <w:bottom w:val="single" w:sz="4" w:space="0" w:color="auto"/>
              <w:right w:val="single" w:sz="4" w:space="0" w:color="auto"/>
            </w:tcBorders>
            <w:shd w:val="clear" w:color="auto" w:fill="auto"/>
            <w:noWrap/>
            <w:vAlign w:val="center"/>
            <w:hideMark/>
          </w:tcPr>
          <w:p w14:paraId="10247A58" w14:textId="77777777" w:rsidR="00B1049D" w:rsidRPr="00CF5274" w:rsidRDefault="00B1049D" w:rsidP="00C7105E">
            <w:pPr>
              <w:jc w:val="center"/>
              <w:rPr>
                <w:rFonts w:ascii="Calibri" w:eastAsia="Times New Roman" w:hAnsi="Calibri" w:cs="Times New Roman"/>
                <w:color w:val="000000"/>
              </w:rPr>
            </w:pPr>
          </w:p>
        </w:tc>
        <w:tc>
          <w:tcPr>
            <w:tcW w:w="1006" w:type="dxa"/>
            <w:tcBorders>
              <w:top w:val="nil"/>
              <w:left w:val="nil"/>
              <w:bottom w:val="single" w:sz="4" w:space="0" w:color="auto"/>
              <w:right w:val="single" w:sz="4" w:space="0" w:color="auto"/>
            </w:tcBorders>
            <w:shd w:val="clear" w:color="auto" w:fill="auto"/>
            <w:noWrap/>
            <w:vAlign w:val="center"/>
            <w:hideMark/>
          </w:tcPr>
          <w:p w14:paraId="62764674" w14:textId="77777777" w:rsidR="00B1049D" w:rsidRPr="00CF5274" w:rsidRDefault="00B1049D" w:rsidP="00C7105E">
            <w:pPr>
              <w:jc w:val="center"/>
              <w:rPr>
                <w:rFonts w:ascii="Calibri" w:eastAsia="Times New Roman" w:hAnsi="Calibri" w:cs="Times New Roman"/>
                <w:color w:val="000000"/>
              </w:rPr>
            </w:pPr>
          </w:p>
        </w:tc>
        <w:tc>
          <w:tcPr>
            <w:tcW w:w="1067" w:type="dxa"/>
            <w:tcBorders>
              <w:top w:val="nil"/>
              <w:left w:val="nil"/>
              <w:bottom w:val="single" w:sz="4" w:space="0" w:color="auto"/>
              <w:right w:val="single" w:sz="4" w:space="0" w:color="auto"/>
            </w:tcBorders>
            <w:shd w:val="clear" w:color="auto" w:fill="auto"/>
            <w:noWrap/>
            <w:vAlign w:val="center"/>
            <w:hideMark/>
          </w:tcPr>
          <w:p w14:paraId="6E79AABA"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4C979290"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6DDE74DA" w14:textId="77777777" w:rsidR="00B1049D" w:rsidRPr="00CF5274" w:rsidRDefault="00B1049D" w:rsidP="00C7105E">
            <w:pPr>
              <w:jc w:val="center"/>
              <w:rPr>
                <w:rFonts w:ascii="Calibri" w:eastAsia="Times New Roman" w:hAnsi="Calibri" w:cs="Times New Roman"/>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14:paraId="0A35C789"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c>
          <w:tcPr>
            <w:tcW w:w="941" w:type="dxa"/>
            <w:tcBorders>
              <w:top w:val="nil"/>
              <w:left w:val="nil"/>
              <w:bottom w:val="single" w:sz="4" w:space="0" w:color="auto"/>
              <w:right w:val="single" w:sz="4" w:space="0" w:color="auto"/>
            </w:tcBorders>
            <w:shd w:val="clear" w:color="auto" w:fill="auto"/>
            <w:noWrap/>
            <w:vAlign w:val="center"/>
            <w:hideMark/>
          </w:tcPr>
          <w:p w14:paraId="4C347B75" w14:textId="77777777" w:rsidR="00B1049D" w:rsidRPr="00CF5274" w:rsidRDefault="00B1049D" w:rsidP="00C7105E">
            <w:pPr>
              <w:jc w:val="center"/>
              <w:rPr>
                <w:rFonts w:ascii="Calibri" w:eastAsia="Times New Roman" w:hAnsi="Calibri" w:cs="Times New Roman"/>
                <w:color w:val="000000"/>
              </w:rPr>
            </w:pPr>
            <w:r>
              <w:rPr>
                <w:rFonts w:ascii="Calibri" w:eastAsia="Times New Roman" w:hAnsi="Calibri" w:cs="Times New Roman"/>
                <w:color w:val="000000"/>
              </w:rPr>
              <w:sym w:font="Wingdings" w:char="F0FC"/>
            </w:r>
          </w:p>
        </w:tc>
      </w:tr>
    </w:tbl>
    <w:p w14:paraId="46798B33" w14:textId="77777777" w:rsidR="00B1049D" w:rsidRPr="00041877" w:rsidRDefault="00B1049D" w:rsidP="00B1049D">
      <w:pPr>
        <w:pStyle w:val="NormalWeb"/>
        <w:autoSpaceDE w:val="0"/>
        <w:autoSpaceDN w:val="0"/>
        <w:adjustRightInd w:val="0"/>
        <w:spacing w:after="200"/>
        <w:jc w:val="center"/>
        <w:rPr>
          <w:rFonts w:asciiTheme="minorHAnsi" w:hAnsiTheme="minorHAnsi"/>
          <w:sz w:val="22"/>
          <w:szCs w:val="22"/>
        </w:rPr>
      </w:pPr>
      <w:r w:rsidRPr="00041877">
        <w:rPr>
          <w:rFonts w:asciiTheme="minorHAnsi" w:hAnsiTheme="minorHAnsi"/>
          <w:sz w:val="22"/>
          <w:szCs w:val="22"/>
        </w:rPr>
        <w:t>Note: FBP = Far Below Proficient; BP = Below Proficient; P = Proficient; A = Advanced</w:t>
      </w:r>
    </w:p>
    <w:p w14:paraId="6F8F30E0" w14:textId="3FDE0815" w:rsidR="00B1049D" w:rsidRDefault="00B1049D" w:rsidP="00B1049D">
      <w:pPr>
        <w:rPr>
          <w:rFonts w:ascii="Calibri" w:hAnsi="Calibri"/>
        </w:rPr>
      </w:pPr>
      <w:r w:rsidRPr="00DF50F2">
        <w:t xml:space="preserve">Alaska will spilt the scale-score ranges for Below Proficient and Proficient in half. The intention was to do the same for the Far Below Proficient and Advanced ranges as well; however, based on 2017 PEAKS performance, this would have resulted in significantly fewer students in the A High and FBP Low ranges compared to the A Low and FBP High ranges, respectively. At the recommendation of Alaska’s Technical Advisory Committee, Alaska will instead establish the lower bound of the FBP High range and the upper bound of the A Low range to ensure that both ranges are equal to 16 scale-score points. This value represents about half of the 33-point standard deviation in 2017. The following table represents the </w:t>
      </w:r>
      <w:r w:rsidRPr="00DF50F2">
        <w:lastRenderedPageBreak/>
        <w:t>scale-score cuts and standard errors for the 2017 PEAKS English language arts and mathematics content assessments by grade level:</w:t>
      </w:r>
    </w:p>
    <w:p w14:paraId="159CB9BE" w14:textId="559155F2" w:rsidR="00B1049D" w:rsidRPr="008903CE" w:rsidRDefault="00B1049D" w:rsidP="008903CE">
      <w:pPr>
        <w:rPr>
          <w:rFonts w:ascii="Calibri" w:hAnsi="Calibri"/>
          <w:b/>
        </w:rPr>
      </w:pPr>
      <w:r w:rsidRPr="008903CE">
        <w:rPr>
          <w:rFonts w:ascii="Calibri" w:eastAsia="Times New Roman" w:hAnsi="Calibri" w:cs="Times New Roman"/>
          <w:b/>
          <w:color w:val="000000"/>
        </w:rPr>
        <w:t>English Language Arts (Computer-Based)</w:t>
      </w:r>
    </w:p>
    <w:tbl>
      <w:tblPr>
        <w:tblW w:w="5298" w:type="pct"/>
        <w:tblLook w:val="04A0" w:firstRow="1" w:lastRow="0" w:firstColumn="1" w:lastColumn="0" w:noHBand="0" w:noVBand="1"/>
      </w:tblPr>
      <w:tblGrid>
        <w:gridCol w:w="1414"/>
        <w:gridCol w:w="1414"/>
        <w:gridCol w:w="1415"/>
        <w:gridCol w:w="1417"/>
        <w:gridCol w:w="1415"/>
        <w:gridCol w:w="1415"/>
        <w:gridCol w:w="1417"/>
      </w:tblGrid>
      <w:tr w:rsidR="00EE1C37" w:rsidRPr="00EE1C37" w14:paraId="0B8C9B12" w14:textId="77777777" w:rsidTr="00EE1C37">
        <w:trPr>
          <w:trHeight w:val="1052"/>
          <w:tblHeader/>
        </w:trPr>
        <w:tc>
          <w:tcPr>
            <w:tcW w:w="714" w:type="pct"/>
            <w:tcBorders>
              <w:top w:val="single" w:sz="4" w:space="0" w:color="auto"/>
              <w:left w:val="single" w:sz="4" w:space="0" w:color="auto"/>
              <w:bottom w:val="single" w:sz="4" w:space="0" w:color="auto"/>
              <w:right w:val="single" w:sz="4" w:space="0" w:color="auto"/>
            </w:tcBorders>
            <w:vAlign w:val="bottom"/>
            <w:hideMark/>
          </w:tcPr>
          <w:p w14:paraId="1F5B808B" w14:textId="15A4CF05"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Grade</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45F2366" w14:textId="3E9DD812"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Below Proficient Scale score cut</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0DDBDCC" w14:textId="1AF81781"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Below Proficient Scale score standard error</w:t>
            </w:r>
          </w:p>
        </w:tc>
        <w:tc>
          <w:tcPr>
            <w:tcW w:w="715" w:type="pct"/>
            <w:tcBorders>
              <w:top w:val="single" w:sz="4" w:space="0" w:color="auto"/>
              <w:left w:val="nil"/>
              <w:bottom w:val="single" w:sz="4" w:space="0" w:color="auto"/>
              <w:right w:val="single" w:sz="4" w:space="0" w:color="auto"/>
            </w:tcBorders>
            <w:shd w:val="clear" w:color="auto" w:fill="auto"/>
            <w:vAlign w:val="bottom"/>
            <w:hideMark/>
          </w:tcPr>
          <w:p w14:paraId="75C7085C" w14:textId="38D3CE32"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Proficient Scale score cut</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6F9895AC" w14:textId="25FD8CE0"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Proficient Scale score standard error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4BB2E92F" w14:textId="51A2BB72"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Advanced Scale score cut</w:t>
            </w:r>
          </w:p>
        </w:tc>
        <w:tc>
          <w:tcPr>
            <w:tcW w:w="715" w:type="pct"/>
            <w:tcBorders>
              <w:top w:val="single" w:sz="4" w:space="0" w:color="auto"/>
              <w:left w:val="nil"/>
              <w:bottom w:val="single" w:sz="4" w:space="0" w:color="auto"/>
              <w:right w:val="single" w:sz="4" w:space="0" w:color="auto"/>
            </w:tcBorders>
            <w:shd w:val="clear" w:color="auto" w:fill="auto"/>
            <w:vAlign w:val="bottom"/>
            <w:hideMark/>
          </w:tcPr>
          <w:p w14:paraId="29A89A19" w14:textId="2727A217" w:rsidR="00EE1C37" w:rsidRPr="00EE1C37" w:rsidRDefault="00EE1C37"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Advanced Scale score standard error</w:t>
            </w:r>
          </w:p>
        </w:tc>
      </w:tr>
      <w:tr w:rsidR="00EE1C37" w:rsidRPr="00041877" w14:paraId="66B15B01"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2C25B4CB"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3</w:t>
            </w:r>
          </w:p>
        </w:tc>
        <w:tc>
          <w:tcPr>
            <w:tcW w:w="714" w:type="pct"/>
            <w:tcBorders>
              <w:top w:val="nil"/>
              <w:left w:val="nil"/>
              <w:bottom w:val="single" w:sz="4" w:space="0" w:color="auto"/>
              <w:right w:val="single" w:sz="4" w:space="0" w:color="auto"/>
            </w:tcBorders>
            <w:shd w:val="clear" w:color="auto" w:fill="auto"/>
            <w:vAlign w:val="bottom"/>
            <w:hideMark/>
          </w:tcPr>
          <w:p w14:paraId="3D958C83"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464</w:t>
            </w:r>
          </w:p>
        </w:tc>
        <w:tc>
          <w:tcPr>
            <w:tcW w:w="714" w:type="pct"/>
            <w:tcBorders>
              <w:top w:val="nil"/>
              <w:left w:val="nil"/>
              <w:bottom w:val="single" w:sz="4" w:space="0" w:color="auto"/>
              <w:right w:val="single" w:sz="4" w:space="0" w:color="auto"/>
            </w:tcBorders>
            <w:shd w:val="clear" w:color="auto" w:fill="auto"/>
            <w:vAlign w:val="bottom"/>
            <w:hideMark/>
          </w:tcPr>
          <w:p w14:paraId="2D3C6358"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5" w:type="pct"/>
            <w:tcBorders>
              <w:top w:val="nil"/>
              <w:left w:val="nil"/>
              <w:bottom w:val="single" w:sz="4" w:space="0" w:color="auto"/>
              <w:right w:val="single" w:sz="4" w:space="0" w:color="auto"/>
            </w:tcBorders>
            <w:shd w:val="clear" w:color="auto" w:fill="auto"/>
            <w:vAlign w:val="bottom"/>
            <w:hideMark/>
          </w:tcPr>
          <w:p w14:paraId="00BBF413"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458F2CDB"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bottom"/>
            <w:hideMark/>
          </w:tcPr>
          <w:p w14:paraId="20B8B0FE"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542</w:t>
            </w:r>
          </w:p>
        </w:tc>
        <w:tc>
          <w:tcPr>
            <w:tcW w:w="715" w:type="pct"/>
            <w:tcBorders>
              <w:top w:val="nil"/>
              <w:left w:val="nil"/>
              <w:bottom w:val="single" w:sz="4" w:space="0" w:color="auto"/>
              <w:right w:val="single" w:sz="4" w:space="0" w:color="auto"/>
            </w:tcBorders>
            <w:shd w:val="clear" w:color="auto" w:fill="auto"/>
            <w:vAlign w:val="bottom"/>
            <w:hideMark/>
          </w:tcPr>
          <w:p w14:paraId="686AC0A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EE1C37" w:rsidRPr="00041877" w14:paraId="223A50C7"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3CFD154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w:t>
            </w:r>
          </w:p>
        </w:tc>
        <w:tc>
          <w:tcPr>
            <w:tcW w:w="714" w:type="pct"/>
            <w:tcBorders>
              <w:top w:val="nil"/>
              <w:left w:val="nil"/>
              <w:bottom w:val="single" w:sz="4" w:space="0" w:color="auto"/>
              <w:right w:val="single" w:sz="4" w:space="0" w:color="auto"/>
            </w:tcBorders>
            <w:shd w:val="clear" w:color="auto" w:fill="auto"/>
            <w:vAlign w:val="bottom"/>
            <w:hideMark/>
          </w:tcPr>
          <w:p w14:paraId="5425E51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468</w:t>
            </w:r>
          </w:p>
        </w:tc>
        <w:tc>
          <w:tcPr>
            <w:tcW w:w="714" w:type="pct"/>
            <w:tcBorders>
              <w:top w:val="nil"/>
              <w:left w:val="nil"/>
              <w:bottom w:val="single" w:sz="4" w:space="0" w:color="auto"/>
              <w:right w:val="single" w:sz="4" w:space="0" w:color="auto"/>
            </w:tcBorders>
            <w:shd w:val="clear" w:color="auto" w:fill="auto"/>
            <w:vAlign w:val="bottom"/>
            <w:hideMark/>
          </w:tcPr>
          <w:p w14:paraId="4CD261D8"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5" w:type="pct"/>
            <w:tcBorders>
              <w:top w:val="nil"/>
              <w:left w:val="nil"/>
              <w:bottom w:val="single" w:sz="4" w:space="0" w:color="auto"/>
              <w:right w:val="single" w:sz="4" w:space="0" w:color="auto"/>
            </w:tcBorders>
            <w:shd w:val="clear" w:color="auto" w:fill="auto"/>
            <w:vAlign w:val="bottom"/>
            <w:hideMark/>
          </w:tcPr>
          <w:p w14:paraId="3E00880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356FC90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4" w:type="pct"/>
            <w:tcBorders>
              <w:top w:val="nil"/>
              <w:left w:val="nil"/>
              <w:bottom w:val="single" w:sz="4" w:space="0" w:color="auto"/>
              <w:right w:val="single" w:sz="4" w:space="0" w:color="auto"/>
            </w:tcBorders>
            <w:shd w:val="clear" w:color="auto" w:fill="auto"/>
            <w:vAlign w:val="bottom"/>
            <w:hideMark/>
          </w:tcPr>
          <w:p w14:paraId="1C80639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538</w:t>
            </w:r>
          </w:p>
        </w:tc>
        <w:tc>
          <w:tcPr>
            <w:tcW w:w="715" w:type="pct"/>
            <w:tcBorders>
              <w:top w:val="nil"/>
              <w:left w:val="nil"/>
              <w:bottom w:val="single" w:sz="4" w:space="0" w:color="auto"/>
              <w:right w:val="single" w:sz="4" w:space="0" w:color="auto"/>
            </w:tcBorders>
            <w:shd w:val="clear" w:color="auto" w:fill="auto"/>
            <w:vAlign w:val="bottom"/>
            <w:hideMark/>
          </w:tcPr>
          <w:p w14:paraId="047890D7"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12</w:t>
            </w:r>
          </w:p>
        </w:tc>
      </w:tr>
      <w:tr w:rsidR="00EE1C37" w:rsidRPr="00041877" w14:paraId="33C570A7"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32399E1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w:t>
            </w:r>
          </w:p>
        </w:tc>
        <w:tc>
          <w:tcPr>
            <w:tcW w:w="714" w:type="pct"/>
            <w:tcBorders>
              <w:top w:val="nil"/>
              <w:left w:val="nil"/>
              <w:bottom w:val="single" w:sz="4" w:space="0" w:color="auto"/>
              <w:right w:val="single" w:sz="4" w:space="0" w:color="auto"/>
            </w:tcBorders>
            <w:shd w:val="clear" w:color="auto" w:fill="auto"/>
            <w:vAlign w:val="bottom"/>
            <w:hideMark/>
          </w:tcPr>
          <w:p w14:paraId="677289E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464</w:t>
            </w:r>
          </w:p>
        </w:tc>
        <w:tc>
          <w:tcPr>
            <w:tcW w:w="714" w:type="pct"/>
            <w:tcBorders>
              <w:top w:val="nil"/>
              <w:left w:val="nil"/>
              <w:bottom w:val="single" w:sz="4" w:space="0" w:color="auto"/>
              <w:right w:val="single" w:sz="4" w:space="0" w:color="auto"/>
            </w:tcBorders>
            <w:shd w:val="clear" w:color="auto" w:fill="auto"/>
            <w:vAlign w:val="bottom"/>
            <w:hideMark/>
          </w:tcPr>
          <w:p w14:paraId="30207F6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5" w:type="pct"/>
            <w:tcBorders>
              <w:top w:val="nil"/>
              <w:left w:val="nil"/>
              <w:bottom w:val="single" w:sz="4" w:space="0" w:color="auto"/>
              <w:right w:val="single" w:sz="4" w:space="0" w:color="auto"/>
            </w:tcBorders>
            <w:shd w:val="clear" w:color="auto" w:fill="auto"/>
            <w:vAlign w:val="bottom"/>
            <w:hideMark/>
          </w:tcPr>
          <w:p w14:paraId="69C4D6F4"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3F77397D"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4" w:type="pct"/>
            <w:tcBorders>
              <w:top w:val="nil"/>
              <w:left w:val="nil"/>
              <w:bottom w:val="single" w:sz="4" w:space="0" w:color="auto"/>
              <w:right w:val="single" w:sz="4" w:space="0" w:color="auto"/>
            </w:tcBorders>
            <w:shd w:val="clear" w:color="auto" w:fill="auto"/>
            <w:vAlign w:val="bottom"/>
            <w:hideMark/>
          </w:tcPr>
          <w:p w14:paraId="5BE54AFF"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548</w:t>
            </w:r>
          </w:p>
        </w:tc>
        <w:tc>
          <w:tcPr>
            <w:tcW w:w="715" w:type="pct"/>
            <w:tcBorders>
              <w:top w:val="nil"/>
              <w:left w:val="nil"/>
              <w:bottom w:val="single" w:sz="4" w:space="0" w:color="auto"/>
              <w:right w:val="single" w:sz="4" w:space="0" w:color="auto"/>
            </w:tcBorders>
            <w:shd w:val="clear" w:color="auto" w:fill="auto"/>
            <w:vAlign w:val="bottom"/>
            <w:hideMark/>
          </w:tcPr>
          <w:p w14:paraId="067B09A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14</w:t>
            </w:r>
          </w:p>
        </w:tc>
      </w:tr>
      <w:tr w:rsidR="00EE1C37" w:rsidRPr="00041877" w14:paraId="5226D1C7"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387F92C1"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6</w:t>
            </w:r>
          </w:p>
        </w:tc>
        <w:tc>
          <w:tcPr>
            <w:tcW w:w="714" w:type="pct"/>
            <w:tcBorders>
              <w:top w:val="nil"/>
              <w:left w:val="nil"/>
              <w:bottom w:val="single" w:sz="4" w:space="0" w:color="auto"/>
              <w:right w:val="single" w:sz="4" w:space="0" w:color="auto"/>
            </w:tcBorders>
            <w:shd w:val="clear" w:color="auto" w:fill="auto"/>
            <w:vAlign w:val="bottom"/>
            <w:hideMark/>
          </w:tcPr>
          <w:p w14:paraId="112DD90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473</w:t>
            </w:r>
          </w:p>
        </w:tc>
        <w:tc>
          <w:tcPr>
            <w:tcW w:w="714" w:type="pct"/>
            <w:tcBorders>
              <w:top w:val="nil"/>
              <w:left w:val="nil"/>
              <w:bottom w:val="single" w:sz="4" w:space="0" w:color="auto"/>
              <w:right w:val="single" w:sz="4" w:space="0" w:color="auto"/>
            </w:tcBorders>
            <w:shd w:val="clear" w:color="auto" w:fill="auto"/>
            <w:vAlign w:val="bottom"/>
            <w:hideMark/>
          </w:tcPr>
          <w:p w14:paraId="26EB65A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5" w:type="pct"/>
            <w:tcBorders>
              <w:top w:val="nil"/>
              <w:left w:val="nil"/>
              <w:bottom w:val="single" w:sz="4" w:space="0" w:color="auto"/>
              <w:right w:val="single" w:sz="4" w:space="0" w:color="auto"/>
            </w:tcBorders>
            <w:shd w:val="clear" w:color="auto" w:fill="auto"/>
            <w:vAlign w:val="bottom"/>
            <w:hideMark/>
          </w:tcPr>
          <w:p w14:paraId="2FA80439"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5BB6D3E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bottom"/>
            <w:hideMark/>
          </w:tcPr>
          <w:p w14:paraId="0FEC0C8D"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551</w:t>
            </w:r>
          </w:p>
        </w:tc>
        <w:tc>
          <w:tcPr>
            <w:tcW w:w="715" w:type="pct"/>
            <w:tcBorders>
              <w:top w:val="nil"/>
              <w:left w:val="nil"/>
              <w:bottom w:val="single" w:sz="4" w:space="0" w:color="auto"/>
              <w:right w:val="single" w:sz="4" w:space="0" w:color="auto"/>
            </w:tcBorders>
            <w:shd w:val="clear" w:color="auto" w:fill="auto"/>
            <w:vAlign w:val="bottom"/>
            <w:hideMark/>
          </w:tcPr>
          <w:p w14:paraId="6DAA499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EE1C37" w:rsidRPr="00041877" w14:paraId="5AE9A090"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364AA0ED"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7</w:t>
            </w:r>
          </w:p>
        </w:tc>
        <w:tc>
          <w:tcPr>
            <w:tcW w:w="714" w:type="pct"/>
            <w:tcBorders>
              <w:top w:val="nil"/>
              <w:left w:val="nil"/>
              <w:bottom w:val="single" w:sz="4" w:space="0" w:color="auto"/>
              <w:right w:val="single" w:sz="4" w:space="0" w:color="auto"/>
            </w:tcBorders>
            <w:shd w:val="clear" w:color="auto" w:fill="auto"/>
            <w:vAlign w:val="bottom"/>
            <w:hideMark/>
          </w:tcPr>
          <w:p w14:paraId="680C7192"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471</w:t>
            </w:r>
          </w:p>
        </w:tc>
        <w:tc>
          <w:tcPr>
            <w:tcW w:w="714" w:type="pct"/>
            <w:tcBorders>
              <w:top w:val="nil"/>
              <w:left w:val="nil"/>
              <w:bottom w:val="single" w:sz="4" w:space="0" w:color="auto"/>
              <w:right w:val="single" w:sz="4" w:space="0" w:color="auto"/>
            </w:tcBorders>
            <w:shd w:val="clear" w:color="auto" w:fill="auto"/>
            <w:vAlign w:val="bottom"/>
            <w:hideMark/>
          </w:tcPr>
          <w:p w14:paraId="406DE733"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5" w:type="pct"/>
            <w:tcBorders>
              <w:top w:val="nil"/>
              <w:left w:val="nil"/>
              <w:bottom w:val="single" w:sz="4" w:space="0" w:color="auto"/>
              <w:right w:val="single" w:sz="4" w:space="0" w:color="auto"/>
            </w:tcBorders>
            <w:shd w:val="clear" w:color="auto" w:fill="auto"/>
            <w:vAlign w:val="bottom"/>
            <w:hideMark/>
          </w:tcPr>
          <w:p w14:paraId="534B5E5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0D6F7FD6"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bottom"/>
            <w:hideMark/>
          </w:tcPr>
          <w:p w14:paraId="0987DFC1"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546</w:t>
            </w:r>
          </w:p>
        </w:tc>
        <w:tc>
          <w:tcPr>
            <w:tcW w:w="715" w:type="pct"/>
            <w:tcBorders>
              <w:top w:val="nil"/>
              <w:left w:val="nil"/>
              <w:bottom w:val="single" w:sz="4" w:space="0" w:color="auto"/>
              <w:right w:val="single" w:sz="4" w:space="0" w:color="auto"/>
            </w:tcBorders>
            <w:shd w:val="clear" w:color="auto" w:fill="auto"/>
            <w:vAlign w:val="bottom"/>
            <w:hideMark/>
          </w:tcPr>
          <w:p w14:paraId="3C9FACA1"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EE1C37" w:rsidRPr="00041877" w14:paraId="1CEBC339"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4FC1962B"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8</w:t>
            </w:r>
          </w:p>
        </w:tc>
        <w:tc>
          <w:tcPr>
            <w:tcW w:w="714" w:type="pct"/>
            <w:tcBorders>
              <w:top w:val="nil"/>
              <w:left w:val="nil"/>
              <w:bottom w:val="single" w:sz="4" w:space="0" w:color="auto"/>
              <w:right w:val="single" w:sz="4" w:space="0" w:color="auto"/>
            </w:tcBorders>
            <w:shd w:val="clear" w:color="auto" w:fill="auto"/>
            <w:vAlign w:val="bottom"/>
            <w:hideMark/>
          </w:tcPr>
          <w:p w14:paraId="50AAD200"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469</w:t>
            </w:r>
          </w:p>
        </w:tc>
        <w:tc>
          <w:tcPr>
            <w:tcW w:w="714" w:type="pct"/>
            <w:tcBorders>
              <w:top w:val="nil"/>
              <w:left w:val="nil"/>
              <w:bottom w:val="single" w:sz="4" w:space="0" w:color="auto"/>
              <w:right w:val="single" w:sz="4" w:space="0" w:color="auto"/>
            </w:tcBorders>
            <w:shd w:val="clear" w:color="auto" w:fill="auto"/>
            <w:vAlign w:val="bottom"/>
            <w:hideMark/>
          </w:tcPr>
          <w:p w14:paraId="444736CC"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5" w:type="pct"/>
            <w:tcBorders>
              <w:top w:val="nil"/>
              <w:left w:val="nil"/>
              <w:bottom w:val="single" w:sz="4" w:space="0" w:color="auto"/>
              <w:right w:val="single" w:sz="4" w:space="0" w:color="auto"/>
            </w:tcBorders>
            <w:shd w:val="clear" w:color="auto" w:fill="auto"/>
            <w:vAlign w:val="bottom"/>
            <w:hideMark/>
          </w:tcPr>
          <w:p w14:paraId="7B0E000E"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63251205"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bottom"/>
            <w:hideMark/>
          </w:tcPr>
          <w:p w14:paraId="20312A40"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541</w:t>
            </w:r>
          </w:p>
        </w:tc>
        <w:tc>
          <w:tcPr>
            <w:tcW w:w="715" w:type="pct"/>
            <w:tcBorders>
              <w:top w:val="nil"/>
              <w:left w:val="nil"/>
              <w:bottom w:val="single" w:sz="4" w:space="0" w:color="auto"/>
              <w:right w:val="single" w:sz="4" w:space="0" w:color="auto"/>
            </w:tcBorders>
            <w:shd w:val="clear" w:color="auto" w:fill="auto"/>
            <w:vAlign w:val="bottom"/>
            <w:hideMark/>
          </w:tcPr>
          <w:p w14:paraId="192EAA53"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12</w:t>
            </w:r>
          </w:p>
        </w:tc>
      </w:tr>
      <w:tr w:rsidR="00EE1C37" w:rsidRPr="00041877" w14:paraId="64F55B50" w14:textId="77777777" w:rsidTr="00EE1C37">
        <w:trPr>
          <w:trHeight w:val="310"/>
        </w:trPr>
        <w:tc>
          <w:tcPr>
            <w:tcW w:w="714" w:type="pct"/>
            <w:tcBorders>
              <w:top w:val="nil"/>
              <w:left w:val="single" w:sz="4" w:space="0" w:color="auto"/>
              <w:bottom w:val="single" w:sz="4" w:space="0" w:color="auto"/>
              <w:right w:val="single" w:sz="4" w:space="0" w:color="auto"/>
            </w:tcBorders>
            <w:shd w:val="clear" w:color="auto" w:fill="auto"/>
            <w:vAlign w:val="bottom"/>
            <w:hideMark/>
          </w:tcPr>
          <w:p w14:paraId="1BAD27B1"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4" w:type="pct"/>
            <w:tcBorders>
              <w:top w:val="nil"/>
              <w:left w:val="nil"/>
              <w:bottom w:val="single" w:sz="4" w:space="0" w:color="auto"/>
              <w:right w:val="single" w:sz="4" w:space="0" w:color="auto"/>
            </w:tcBorders>
            <w:shd w:val="clear" w:color="auto" w:fill="auto"/>
            <w:vAlign w:val="bottom"/>
            <w:hideMark/>
          </w:tcPr>
          <w:p w14:paraId="5CD87DCD"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471</w:t>
            </w:r>
          </w:p>
        </w:tc>
        <w:tc>
          <w:tcPr>
            <w:tcW w:w="714" w:type="pct"/>
            <w:tcBorders>
              <w:top w:val="nil"/>
              <w:left w:val="nil"/>
              <w:bottom w:val="single" w:sz="4" w:space="0" w:color="auto"/>
              <w:right w:val="single" w:sz="4" w:space="0" w:color="auto"/>
            </w:tcBorders>
            <w:shd w:val="clear" w:color="auto" w:fill="auto"/>
            <w:vAlign w:val="bottom"/>
            <w:hideMark/>
          </w:tcPr>
          <w:p w14:paraId="785F0CC4"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5" w:type="pct"/>
            <w:tcBorders>
              <w:top w:val="nil"/>
              <w:left w:val="nil"/>
              <w:bottom w:val="single" w:sz="4" w:space="0" w:color="auto"/>
              <w:right w:val="single" w:sz="4" w:space="0" w:color="auto"/>
            </w:tcBorders>
            <w:shd w:val="clear" w:color="auto" w:fill="auto"/>
            <w:vAlign w:val="bottom"/>
            <w:hideMark/>
          </w:tcPr>
          <w:p w14:paraId="7179BF99"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bottom"/>
            <w:hideMark/>
          </w:tcPr>
          <w:p w14:paraId="66B84F49"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bottom"/>
            <w:hideMark/>
          </w:tcPr>
          <w:p w14:paraId="47C6835A"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535</w:t>
            </w:r>
          </w:p>
        </w:tc>
        <w:tc>
          <w:tcPr>
            <w:tcW w:w="715" w:type="pct"/>
            <w:tcBorders>
              <w:top w:val="nil"/>
              <w:left w:val="nil"/>
              <w:bottom w:val="single" w:sz="4" w:space="0" w:color="auto"/>
              <w:right w:val="single" w:sz="4" w:space="0" w:color="auto"/>
            </w:tcBorders>
            <w:shd w:val="clear" w:color="auto" w:fill="auto"/>
            <w:vAlign w:val="bottom"/>
            <w:hideMark/>
          </w:tcPr>
          <w:p w14:paraId="25A9F9C0" w14:textId="77777777" w:rsidR="00EE1C37" w:rsidRPr="00041877" w:rsidRDefault="00EE1C37" w:rsidP="00EE1C37">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12</w:t>
            </w:r>
          </w:p>
        </w:tc>
      </w:tr>
    </w:tbl>
    <w:p w14:paraId="1966D64A" w14:textId="77777777" w:rsidR="00B1049D" w:rsidRDefault="00B1049D" w:rsidP="00F96089">
      <w:pPr>
        <w:rPr>
          <w:rFonts w:ascii="Calibri" w:eastAsia="Times New Roman" w:hAnsi="Calibri" w:cs="Times New Roman"/>
          <w:color w:val="000000"/>
          <w:sz w:val="16"/>
        </w:rPr>
      </w:pPr>
    </w:p>
    <w:p w14:paraId="7930182C" w14:textId="65F23EF9" w:rsidR="00B1049D" w:rsidRPr="008903CE" w:rsidRDefault="00B1049D" w:rsidP="008903CE">
      <w:pPr>
        <w:rPr>
          <w:rFonts w:ascii="Calibri" w:eastAsia="Times New Roman" w:hAnsi="Calibri" w:cs="Times New Roman"/>
          <w:b/>
          <w:color w:val="000000"/>
        </w:rPr>
      </w:pPr>
      <w:r w:rsidRPr="008903CE">
        <w:rPr>
          <w:rFonts w:ascii="Calibri" w:eastAsia="Times New Roman" w:hAnsi="Calibri" w:cs="Times New Roman"/>
          <w:b/>
          <w:color w:val="000000"/>
        </w:rPr>
        <w:t>Mathematics (Computer-Based)</w:t>
      </w:r>
    </w:p>
    <w:tbl>
      <w:tblPr>
        <w:tblW w:w="5337" w:type="pct"/>
        <w:tblLook w:val="04A0" w:firstRow="1" w:lastRow="0" w:firstColumn="1" w:lastColumn="0" w:noHBand="0" w:noVBand="1"/>
      </w:tblPr>
      <w:tblGrid>
        <w:gridCol w:w="1426"/>
        <w:gridCol w:w="1426"/>
        <w:gridCol w:w="1426"/>
        <w:gridCol w:w="1426"/>
        <w:gridCol w:w="1426"/>
        <w:gridCol w:w="1425"/>
        <w:gridCol w:w="1425"/>
      </w:tblGrid>
      <w:tr w:rsidR="00EE1C37" w:rsidRPr="00EE1C37" w14:paraId="2A7A5FAB" w14:textId="77777777" w:rsidTr="00EE1C37">
        <w:trPr>
          <w:trHeight w:val="732"/>
          <w:tblHeader/>
        </w:trPr>
        <w:tc>
          <w:tcPr>
            <w:tcW w:w="714" w:type="pct"/>
            <w:tcBorders>
              <w:top w:val="single" w:sz="4" w:space="0" w:color="auto"/>
              <w:left w:val="single" w:sz="4" w:space="0" w:color="auto"/>
              <w:bottom w:val="single" w:sz="4" w:space="0" w:color="auto"/>
              <w:right w:val="single" w:sz="4" w:space="0" w:color="auto"/>
            </w:tcBorders>
            <w:vAlign w:val="bottom"/>
            <w:hideMark/>
          </w:tcPr>
          <w:p w14:paraId="6ADFEB53" w14:textId="5969AB95"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Grade</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517E939D"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Below Proficient Scale score cut</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FF1BD4E"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Below Proficient Scale score standard error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7F86047"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Proficient Scale score cut</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E92893E"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Proficient Scale score standard error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6A7D655"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Advanced Scale score cut</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FD6474F" w14:textId="77777777" w:rsidR="00B1049D" w:rsidRPr="00EE1C37" w:rsidRDefault="00B1049D" w:rsidP="00EE1C37">
            <w:pPr>
              <w:spacing w:after="0" w:line="240" w:lineRule="auto"/>
              <w:jc w:val="center"/>
              <w:rPr>
                <w:rFonts w:ascii="Calibri" w:eastAsia="Times New Roman" w:hAnsi="Calibri" w:cs="Times New Roman"/>
                <w:color w:val="000000"/>
                <w:sz w:val="20"/>
              </w:rPr>
            </w:pPr>
            <w:r w:rsidRPr="00EE1C37">
              <w:rPr>
                <w:rFonts w:ascii="Calibri" w:eastAsia="Times New Roman" w:hAnsi="Calibri" w:cs="Times New Roman"/>
                <w:color w:val="000000"/>
                <w:sz w:val="20"/>
              </w:rPr>
              <w:t>Advanced Scale score standard error</w:t>
            </w:r>
          </w:p>
        </w:tc>
      </w:tr>
      <w:tr w:rsidR="00B1049D" w:rsidRPr="00041877" w14:paraId="5691DC57"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33B4DEEA"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3</w:t>
            </w:r>
          </w:p>
        </w:tc>
        <w:tc>
          <w:tcPr>
            <w:tcW w:w="714" w:type="pct"/>
            <w:tcBorders>
              <w:top w:val="nil"/>
              <w:left w:val="nil"/>
              <w:bottom w:val="single" w:sz="4" w:space="0" w:color="auto"/>
              <w:right w:val="single" w:sz="4" w:space="0" w:color="auto"/>
            </w:tcBorders>
            <w:shd w:val="clear" w:color="auto" w:fill="auto"/>
            <w:vAlign w:val="center"/>
            <w:hideMark/>
          </w:tcPr>
          <w:p w14:paraId="3F4DD94B"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458</w:t>
            </w:r>
          </w:p>
        </w:tc>
        <w:tc>
          <w:tcPr>
            <w:tcW w:w="714" w:type="pct"/>
            <w:tcBorders>
              <w:top w:val="nil"/>
              <w:left w:val="nil"/>
              <w:bottom w:val="single" w:sz="4" w:space="0" w:color="auto"/>
              <w:right w:val="single" w:sz="4" w:space="0" w:color="auto"/>
            </w:tcBorders>
            <w:shd w:val="clear" w:color="auto" w:fill="auto"/>
            <w:vAlign w:val="center"/>
            <w:hideMark/>
          </w:tcPr>
          <w:p w14:paraId="2895E019"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11</w:t>
            </w:r>
          </w:p>
        </w:tc>
        <w:tc>
          <w:tcPr>
            <w:tcW w:w="714" w:type="pct"/>
            <w:tcBorders>
              <w:top w:val="nil"/>
              <w:left w:val="nil"/>
              <w:bottom w:val="single" w:sz="4" w:space="0" w:color="auto"/>
              <w:right w:val="single" w:sz="4" w:space="0" w:color="auto"/>
            </w:tcBorders>
            <w:shd w:val="clear" w:color="auto" w:fill="auto"/>
            <w:vAlign w:val="center"/>
            <w:hideMark/>
          </w:tcPr>
          <w:p w14:paraId="18C2EE5C"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093EF9A5"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center"/>
            <w:hideMark/>
          </w:tcPr>
          <w:p w14:paraId="4FFBE796"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554</w:t>
            </w:r>
          </w:p>
        </w:tc>
        <w:tc>
          <w:tcPr>
            <w:tcW w:w="714" w:type="pct"/>
            <w:tcBorders>
              <w:top w:val="nil"/>
              <w:left w:val="nil"/>
              <w:bottom w:val="single" w:sz="4" w:space="0" w:color="auto"/>
              <w:right w:val="single" w:sz="4" w:space="0" w:color="auto"/>
            </w:tcBorders>
            <w:shd w:val="clear" w:color="auto" w:fill="auto"/>
            <w:vAlign w:val="center"/>
            <w:hideMark/>
          </w:tcPr>
          <w:p w14:paraId="0DF04B9F"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B1049D" w:rsidRPr="00041877" w14:paraId="01710445"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34BEDDAF"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w:t>
            </w:r>
          </w:p>
        </w:tc>
        <w:tc>
          <w:tcPr>
            <w:tcW w:w="714" w:type="pct"/>
            <w:tcBorders>
              <w:top w:val="nil"/>
              <w:left w:val="nil"/>
              <w:bottom w:val="single" w:sz="4" w:space="0" w:color="auto"/>
              <w:right w:val="single" w:sz="4" w:space="0" w:color="auto"/>
            </w:tcBorders>
            <w:shd w:val="clear" w:color="auto" w:fill="auto"/>
            <w:vAlign w:val="center"/>
            <w:hideMark/>
          </w:tcPr>
          <w:p w14:paraId="46D657A1"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460</w:t>
            </w:r>
          </w:p>
        </w:tc>
        <w:tc>
          <w:tcPr>
            <w:tcW w:w="714" w:type="pct"/>
            <w:tcBorders>
              <w:top w:val="nil"/>
              <w:left w:val="nil"/>
              <w:bottom w:val="single" w:sz="4" w:space="0" w:color="auto"/>
              <w:right w:val="single" w:sz="4" w:space="0" w:color="auto"/>
            </w:tcBorders>
            <w:shd w:val="clear" w:color="auto" w:fill="auto"/>
            <w:vAlign w:val="center"/>
            <w:hideMark/>
          </w:tcPr>
          <w:p w14:paraId="27EC8751"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12</w:t>
            </w:r>
          </w:p>
        </w:tc>
        <w:tc>
          <w:tcPr>
            <w:tcW w:w="714" w:type="pct"/>
            <w:tcBorders>
              <w:top w:val="nil"/>
              <w:left w:val="nil"/>
              <w:bottom w:val="single" w:sz="4" w:space="0" w:color="auto"/>
              <w:right w:val="single" w:sz="4" w:space="0" w:color="auto"/>
            </w:tcBorders>
            <w:shd w:val="clear" w:color="auto" w:fill="auto"/>
            <w:vAlign w:val="center"/>
            <w:hideMark/>
          </w:tcPr>
          <w:p w14:paraId="3810015F"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59117646"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center"/>
            <w:hideMark/>
          </w:tcPr>
          <w:p w14:paraId="0DF33054"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559</w:t>
            </w:r>
          </w:p>
        </w:tc>
        <w:tc>
          <w:tcPr>
            <w:tcW w:w="714" w:type="pct"/>
            <w:tcBorders>
              <w:top w:val="nil"/>
              <w:left w:val="nil"/>
              <w:bottom w:val="single" w:sz="4" w:space="0" w:color="auto"/>
              <w:right w:val="single" w:sz="4" w:space="0" w:color="auto"/>
            </w:tcBorders>
            <w:shd w:val="clear" w:color="auto" w:fill="auto"/>
            <w:vAlign w:val="center"/>
            <w:hideMark/>
          </w:tcPr>
          <w:p w14:paraId="4591B246"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B1049D" w:rsidRPr="00041877" w14:paraId="37A4AD17"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67BD8090"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w:t>
            </w:r>
          </w:p>
        </w:tc>
        <w:tc>
          <w:tcPr>
            <w:tcW w:w="714" w:type="pct"/>
            <w:tcBorders>
              <w:top w:val="nil"/>
              <w:left w:val="nil"/>
              <w:bottom w:val="single" w:sz="4" w:space="0" w:color="auto"/>
              <w:right w:val="single" w:sz="4" w:space="0" w:color="auto"/>
            </w:tcBorders>
            <w:shd w:val="clear" w:color="auto" w:fill="auto"/>
            <w:vAlign w:val="center"/>
            <w:hideMark/>
          </w:tcPr>
          <w:p w14:paraId="18BAD4FE"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462</w:t>
            </w:r>
          </w:p>
        </w:tc>
        <w:tc>
          <w:tcPr>
            <w:tcW w:w="714" w:type="pct"/>
            <w:tcBorders>
              <w:top w:val="nil"/>
              <w:left w:val="nil"/>
              <w:bottom w:val="single" w:sz="4" w:space="0" w:color="auto"/>
              <w:right w:val="single" w:sz="4" w:space="0" w:color="auto"/>
            </w:tcBorders>
            <w:shd w:val="clear" w:color="auto" w:fill="auto"/>
            <w:vAlign w:val="center"/>
            <w:hideMark/>
          </w:tcPr>
          <w:p w14:paraId="5289D04A"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c>
          <w:tcPr>
            <w:tcW w:w="714" w:type="pct"/>
            <w:tcBorders>
              <w:top w:val="nil"/>
              <w:left w:val="nil"/>
              <w:bottom w:val="single" w:sz="4" w:space="0" w:color="auto"/>
              <w:right w:val="single" w:sz="4" w:space="0" w:color="auto"/>
            </w:tcBorders>
            <w:shd w:val="clear" w:color="auto" w:fill="auto"/>
            <w:vAlign w:val="center"/>
            <w:hideMark/>
          </w:tcPr>
          <w:p w14:paraId="0C0893AF"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40164A29"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11</w:t>
            </w:r>
          </w:p>
        </w:tc>
        <w:tc>
          <w:tcPr>
            <w:tcW w:w="714" w:type="pct"/>
            <w:tcBorders>
              <w:top w:val="nil"/>
              <w:left w:val="nil"/>
              <w:bottom w:val="single" w:sz="4" w:space="0" w:color="auto"/>
              <w:right w:val="single" w:sz="4" w:space="0" w:color="auto"/>
            </w:tcBorders>
            <w:shd w:val="clear" w:color="auto" w:fill="auto"/>
            <w:vAlign w:val="center"/>
            <w:hideMark/>
          </w:tcPr>
          <w:p w14:paraId="3227D977"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568</w:t>
            </w:r>
          </w:p>
        </w:tc>
        <w:tc>
          <w:tcPr>
            <w:tcW w:w="714" w:type="pct"/>
            <w:tcBorders>
              <w:top w:val="nil"/>
              <w:left w:val="nil"/>
              <w:bottom w:val="single" w:sz="4" w:space="0" w:color="auto"/>
              <w:right w:val="single" w:sz="4" w:space="0" w:color="auto"/>
            </w:tcBorders>
            <w:shd w:val="clear" w:color="auto" w:fill="auto"/>
            <w:vAlign w:val="center"/>
            <w:hideMark/>
          </w:tcPr>
          <w:p w14:paraId="3DCE8A84"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14</w:t>
            </w:r>
          </w:p>
        </w:tc>
      </w:tr>
      <w:tr w:rsidR="00B1049D" w:rsidRPr="00041877" w14:paraId="3DA9790D"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43911B9B"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6</w:t>
            </w:r>
          </w:p>
        </w:tc>
        <w:tc>
          <w:tcPr>
            <w:tcW w:w="714" w:type="pct"/>
            <w:tcBorders>
              <w:top w:val="nil"/>
              <w:left w:val="nil"/>
              <w:bottom w:val="single" w:sz="4" w:space="0" w:color="auto"/>
              <w:right w:val="single" w:sz="4" w:space="0" w:color="auto"/>
            </w:tcBorders>
            <w:shd w:val="clear" w:color="auto" w:fill="auto"/>
            <w:vAlign w:val="center"/>
            <w:hideMark/>
          </w:tcPr>
          <w:p w14:paraId="427C325A"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454</w:t>
            </w:r>
          </w:p>
        </w:tc>
        <w:tc>
          <w:tcPr>
            <w:tcW w:w="714" w:type="pct"/>
            <w:tcBorders>
              <w:top w:val="nil"/>
              <w:left w:val="nil"/>
              <w:bottom w:val="single" w:sz="4" w:space="0" w:color="auto"/>
              <w:right w:val="single" w:sz="4" w:space="0" w:color="auto"/>
            </w:tcBorders>
            <w:shd w:val="clear" w:color="auto" w:fill="auto"/>
            <w:vAlign w:val="center"/>
            <w:hideMark/>
          </w:tcPr>
          <w:p w14:paraId="31A472C0"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11</w:t>
            </w:r>
          </w:p>
        </w:tc>
        <w:tc>
          <w:tcPr>
            <w:tcW w:w="714" w:type="pct"/>
            <w:tcBorders>
              <w:top w:val="nil"/>
              <w:left w:val="nil"/>
              <w:bottom w:val="single" w:sz="4" w:space="0" w:color="auto"/>
              <w:right w:val="single" w:sz="4" w:space="0" w:color="auto"/>
            </w:tcBorders>
            <w:shd w:val="clear" w:color="auto" w:fill="auto"/>
            <w:vAlign w:val="center"/>
            <w:hideMark/>
          </w:tcPr>
          <w:p w14:paraId="0CD2F13E"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137D8190"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4" w:type="pct"/>
            <w:tcBorders>
              <w:top w:val="nil"/>
              <w:left w:val="nil"/>
              <w:bottom w:val="single" w:sz="4" w:space="0" w:color="auto"/>
              <w:right w:val="single" w:sz="4" w:space="0" w:color="auto"/>
            </w:tcBorders>
            <w:shd w:val="clear" w:color="auto" w:fill="auto"/>
            <w:vAlign w:val="center"/>
            <w:hideMark/>
          </w:tcPr>
          <w:p w14:paraId="50E020F7"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554</w:t>
            </w:r>
          </w:p>
        </w:tc>
        <w:tc>
          <w:tcPr>
            <w:tcW w:w="714" w:type="pct"/>
            <w:tcBorders>
              <w:top w:val="nil"/>
              <w:left w:val="nil"/>
              <w:bottom w:val="single" w:sz="4" w:space="0" w:color="auto"/>
              <w:right w:val="single" w:sz="4" w:space="0" w:color="auto"/>
            </w:tcBorders>
            <w:shd w:val="clear" w:color="auto" w:fill="auto"/>
            <w:vAlign w:val="center"/>
            <w:hideMark/>
          </w:tcPr>
          <w:p w14:paraId="415D91A7"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11</w:t>
            </w:r>
          </w:p>
        </w:tc>
      </w:tr>
      <w:tr w:rsidR="00B1049D" w:rsidRPr="00041877" w14:paraId="70E2A409"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2995C935"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7</w:t>
            </w:r>
          </w:p>
        </w:tc>
        <w:tc>
          <w:tcPr>
            <w:tcW w:w="714" w:type="pct"/>
            <w:tcBorders>
              <w:top w:val="nil"/>
              <w:left w:val="nil"/>
              <w:bottom w:val="single" w:sz="4" w:space="0" w:color="auto"/>
              <w:right w:val="single" w:sz="4" w:space="0" w:color="auto"/>
            </w:tcBorders>
            <w:shd w:val="clear" w:color="auto" w:fill="auto"/>
            <w:vAlign w:val="center"/>
            <w:hideMark/>
          </w:tcPr>
          <w:p w14:paraId="40D71B9D"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451</w:t>
            </w:r>
          </w:p>
        </w:tc>
        <w:tc>
          <w:tcPr>
            <w:tcW w:w="714" w:type="pct"/>
            <w:tcBorders>
              <w:top w:val="nil"/>
              <w:left w:val="nil"/>
              <w:bottom w:val="single" w:sz="4" w:space="0" w:color="auto"/>
              <w:right w:val="single" w:sz="4" w:space="0" w:color="auto"/>
            </w:tcBorders>
            <w:shd w:val="clear" w:color="auto" w:fill="auto"/>
            <w:vAlign w:val="center"/>
            <w:hideMark/>
          </w:tcPr>
          <w:p w14:paraId="174B3C2A"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c>
          <w:tcPr>
            <w:tcW w:w="714" w:type="pct"/>
            <w:tcBorders>
              <w:top w:val="nil"/>
              <w:left w:val="nil"/>
              <w:bottom w:val="single" w:sz="4" w:space="0" w:color="auto"/>
              <w:right w:val="single" w:sz="4" w:space="0" w:color="auto"/>
            </w:tcBorders>
            <w:shd w:val="clear" w:color="auto" w:fill="auto"/>
            <w:vAlign w:val="center"/>
            <w:hideMark/>
          </w:tcPr>
          <w:p w14:paraId="3C4FE0D7"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5F7159D1"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10</w:t>
            </w:r>
          </w:p>
        </w:tc>
        <w:tc>
          <w:tcPr>
            <w:tcW w:w="714" w:type="pct"/>
            <w:tcBorders>
              <w:top w:val="nil"/>
              <w:left w:val="nil"/>
              <w:bottom w:val="single" w:sz="4" w:space="0" w:color="auto"/>
              <w:right w:val="single" w:sz="4" w:space="0" w:color="auto"/>
            </w:tcBorders>
            <w:shd w:val="clear" w:color="auto" w:fill="auto"/>
            <w:vAlign w:val="center"/>
            <w:hideMark/>
          </w:tcPr>
          <w:p w14:paraId="1A8F8C3B"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559</w:t>
            </w:r>
          </w:p>
        </w:tc>
        <w:tc>
          <w:tcPr>
            <w:tcW w:w="714" w:type="pct"/>
            <w:tcBorders>
              <w:top w:val="nil"/>
              <w:left w:val="nil"/>
              <w:bottom w:val="single" w:sz="4" w:space="0" w:color="auto"/>
              <w:right w:val="single" w:sz="4" w:space="0" w:color="auto"/>
            </w:tcBorders>
            <w:shd w:val="clear" w:color="auto" w:fill="auto"/>
            <w:vAlign w:val="center"/>
            <w:hideMark/>
          </w:tcPr>
          <w:p w14:paraId="10037D17"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r>
      <w:tr w:rsidR="00B1049D" w:rsidRPr="00041877" w14:paraId="78BF47B0"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41BBCE74"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8</w:t>
            </w:r>
          </w:p>
        </w:tc>
        <w:tc>
          <w:tcPr>
            <w:tcW w:w="714" w:type="pct"/>
            <w:tcBorders>
              <w:top w:val="nil"/>
              <w:left w:val="nil"/>
              <w:bottom w:val="single" w:sz="4" w:space="0" w:color="auto"/>
              <w:right w:val="single" w:sz="4" w:space="0" w:color="auto"/>
            </w:tcBorders>
            <w:shd w:val="clear" w:color="auto" w:fill="auto"/>
            <w:vAlign w:val="center"/>
            <w:hideMark/>
          </w:tcPr>
          <w:p w14:paraId="4E6DCCF9"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448</w:t>
            </w:r>
          </w:p>
        </w:tc>
        <w:tc>
          <w:tcPr>
            <w:tcW w:w="714" w:type="pct"/>
            <w:tcBorders>
              <w:top w:val="nil"/>
              <w:left w:val="nil"/>
              <w:bottom w:val="single" w:sz="4" w:space="0" w:color="auto"/>
              <w:right w:val="single" w:sz="4" w:space="0" w:color="auto"/>
            </w:tcBorders>
            <w:shd w:val="clear" w:color="auto" w:fill="auto"/>
            <w:vAlign w:val="center"/>
            <w:hideMark/>
          </w:tcPr>
          <w:p w14:paraId="655D4C70"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c>
          <w:tcPr>
            <w:tcW w:w="714" w:type="pct"/>
            <w:tcBorders>
              <w:top w:val="nil"/>
              <w:left w:val="nil"/>
              <w:bottom w:val="single" w:sz="4" w:space="0" w:color="auto"/>
              <w:right w:val="single" w:sz="4" w:space="0" w:color="auto"/>
            </w:tcBorders>
            <w:shd w:val="clear" w:color="auto" w:fill="auto"/>
            <w:vAlign w:val="center"/>
            <w:hideMark/>
          </w:tcPr>
          <w:p w14:paraId="474A58AD"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0A38C595"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11</w:t>
            </w:r>
          </w:p>
        </w:tc>
        <w:tc>
          <w:tcPr>
            <w:tcW w:w="714" w:type="pct"/>
            <w:tcBorders>
              <w:top w:val="nil"/>
              <w:left w:val="nil"/>
              <w:bottom w:val="single" w:sz="4" w:space="0" w:color="auto"/>
              <w:right w:val="single" w:sz="4" w:space="0" w:color="auto"/>
            </w:tcBorders>
            <w:shd w:val="clear" w:color="auto" w:fill="auto"/>
            <w:vAlign w:val="center"/>
            <w:hideMark/>
          </w:tcPr>
          <w:p w14:paraId="3F00ABB6"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562</w:t>
            </w:r>
          </w:p>
        </w:tc>
        <w:tc>
          <w:tcPr>
            <w:tcW w:w="714" w:type="pct"/>
            <w:tcBorders>
              <w:top w:val="nil"/>
              <w:left w:val="nil"/>
              <w:bottom w:val="single" w:sz="4" w:space="0" w:color="auto"/>
              <w:right w:val="single" w:sz="4" w:space="0" w:color="auto"/>
            </w:tcBorders>
            <w:shd w:val="clear" w:color="auto" w:fill="auto"/>
            <w:vAlign w:val="center"/>
            <w:hideMark/>
          </w:tcPr>
          <w:p w14:paraId="17C84301"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14</w:t>
            </w:r>
          </w:p>
        </w:tc>
      </w:tr>
      <w:tr w:rsidR="00B1049D" w:rsidRPr="00041877" w14:paraId="53EFBD9C" w14:textId="77777777" w:rsidTr="00EE1C37">
        <w:trPr>
          <w:trHeight w:val="182"/>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5D2E3255"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9</w:t>
            </w:r>
          </w:p>
        </w:tc>
        <w:tc>
          <w:tcPr>
            <w:tcW w:w="714" w:type="pct"/>
            <w:tcBorders>
              <w:top w:val="nil"/>
              <w:left w:val="nil"/>
              <w:bottom w:val="single" w:sz="4" w:space="0" w:color="auto"/>
              <w:right w:val="single" w:sz="4" w:space="0" w:color="auto"/>
            </w:tcBorders>
            <w:shd w:val="clear" w:color="auto" w:fill="auto"/>
            <w:vAlign w:val="center"/>
            <w:hideMark/>
          </w:tcPr>
          <w:p w14:paraId="34FF6C22"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450</w:t>
            </w:r>
          </w:p>
        </w:tc>
        <w:tc>
          <w:tcPr>
            <w:tcW w:w="714" w:type="pct"/>
            <w:tcBorders>
              <w:top w:val="nil"/>
              <w:left w:val="nil"/>
              <w:bottom w:val="single" w:sz="4" w:space="0" w:color="auto"/>
              <w:right w:val="single" w:sz="4" w:space="0" w:color="auto"/>
            </w:tcBorders>
            <w:shd w:val="clear" w:color="auto" w:fill="auto"/>
            <w:vAlign w:val="center"/>
            <w:hideMark/>
          </w:tcPr>
          <w:p w14:paraId="45E41F94"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14</w:t>
            </w:r>
          </w:p>
        </w:tc>
        <w:tc>
          <w:tcPr>
            <w:tcW w:w="714" w:type="pct"/>
            <w:tcBorders>
              <w:top w:val="nil"/>
              <w:left w:val="nil"/>
              <w:bottom w:val="single" w:sz="4" w:space="0" w:color="auto"/>
              <w:right w:val="single" w:sz="4" w:space="0" w:color="auto"/>
            </w:tcBorders>
            <w:shd w:val="clear" w:color="auto" w:fill="auto"/>
            <w:vAlign w:val="center"/>
            <w:hideMark/>
          </w:tcPr>
          <w:p w14:paraId="5B9C58B1"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500</w:t>
            </w:r>
          </w:p>
        </w:tc>
        <w:tc>
          <w:tcPr>
            <w:tcW w:w="714" w:type="pct"/>
            <w:tcBorders>
              <w:top w:val="nil"/>
              <w:left w:val="nil"/>
              <w:bottom w:val="single" w:sz="4" w:space="0" w:color="auto"/>
              <w:right w:val="single" w:sz="4" w:space="0" w:color="auto"/>
            </w:tcBorders>
            <w:shd w:val="clear" w:color="auto" w:fill="auto"/>
            <w:vAlign w:val="center"/>
            <w:hideMark/>
          </w:tcPr>
          <w:p w14:paraId="180355AC"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13</w:t>
            </w:r>
          </w:p>
        </w:tc>
        <w:tc>
          <w:tcPr>
            <w:tcW w:w="714" w:type="pct"/>
            <w:tcBorders>
              <w:top w:val="nil"/>
              <w:left w:val="nil"/>
              <w:bottom w:val="single" w:sz="4" w:space="0" w:color="auto"/>
              <w:right w:val="single" w:sz="4" w:space="0" w:color="auto"/>
            </w:tcBorders>
            <w:shd w:val="clear" w:color="auto" w:fill="auto"/>
            <w:vAlign w:val="center"/>
            <w:hideMark/>
          </w:tcPr>
          <w:p w14:paraId="52FA5304"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570</w:t>
            </w:r>
          </w:p>
        </w:tc>
        <w:tc>
          <w:tcPr>
            <w:tcW w:w="714" w:type="pct"/>
            <w:tcBorders>
              <w:top w:val="nil"/>
              <w:left w:val="nil"/>
              <w:bottom w:val="single" w:sz="4" w:space="0" w:color="auto"/>
              <w:right w:val="single" w:sz="4" w:space="0" w:color="auto"/>
            </w:tcBorders>
            <w:shd w:val="clear" w:color="auto" w:fill="auto"/>
            <w:vAlign w:val="center"/>
            <w:hideMark/>
          </w:tcPr>
          <w:p w14:paraId="684FAEBF" w14:textId="77777777" w:rsidR="00B1049D" w:rsidRPr="00041877" w:rsidRDefault="00B1049D" w:rsidP="00C7105E">
            <w:pPr>
              <w:spacing w:after="0" w:line="240" w:lineRule="auto"/>
              <w:jc w:val="center"/>
              <w:rPr>
                <w:rFonts w:ascii="Calibri" w:eastAsia="Times New Roman" w:hAnsi="Calibri" w:cs="Times New Roman"/>
                <w:color w:val="000000"/>
              </w:rPr>
            </w:pPr>
            <w:r w:rsidRPr="00041877">
              <w:rPr>
                <w:rFonts w:ascii="Calibri" w:eastAsia="Times New Roman" w:hAnsi="Calibri" w:cs="Times New Roman"/>
                <w:color w:val="000000"/>
              </w:rPr>
              <w:t>14</w:t>
            </w:r>
          </w:p>
        </w:tc>
      </w:tr>
    </w:tbl>
    <w:p w14:paraId="726532CC" w14:textId="77777777" w:rsidR="00B1049D" w:rsidRDefault="00B1049D" w:rsidP="008903CE">
      <w:pPr>
        <w:spacing w:before="120"/>
      </w:pPr>
      <w:r>
        <w:t>Splitting the achievement levels in this manner results in sub-levels that are between 13 and 57 scale-score points wide, greater than the standard errors at the achievement levels, which are between nine and 14 scale-score points wide.</w:t>
      </w:r>
    </w:p>
    <w:p w14:paraId="2F5AAB4E" w14:textId="77777777" w:rsidR="00B1049D" w:rsidRPr="00041877" w:rsidRDefault="00B1049D" w:rsidP="008903CE">
      <w:r w:rsidRPr="00041877">
        <w:t>The above addresses the issue of reliability of the half-performance levels in relation to a conditional standard error of measurement (at the performance level cut</w:t>
      </w:r>
      <w:r>
        <w:t xml:space="preserve"> </w:t>
      </w:r>
      <w:r w:rsidRPr="00041877">
        <w:t>points).</w:t>
      </w:r>
      <w:r>
        <w:t xml:space="preserve"> In terms of validity, t</w:t>
      </w:r>
      <w:r w:rsidRPr="00041877">
        <w:t xml:space="preserve">he achievement levels are </w:t>
      </w:r>
      <w:r>
        <w:t>based on the</w:t>
      </w:r>
      <w:r w:rsidRPr="00041877">
        <w:t xml:space="preserve"> </w:t>
      </w:r>
      <w:r>
        <w:t>Achievement Level Descriptors (ALDs)</w:t>
      </w:r>
      <w:r w:rsidRPr="00041877">
        <w:t xml:space="preserve">, and the performance </w:t>
      </w:r>
      <w:r>
        <w:t xml:space="preserve">levels were set during standard </w:t>
      </w:r>
      <w:r w:rsidRPr="00041877">
        <w:t>setting to reflect progressive achievement. In other words, the achievement levels reflect substantial growth both within years and across years</w:t>
      </w:r>
      <w:r>
        <w:t>.</w:t>
      </w:r>
      <w:r w:rsidRPr="00041877">
        <w:t xml:space="preserve"> (</w:t>
      </w:r>
      <w:r>
        <w:t>T</w:t>
      </w:r>
      <w:r w:rsidRPr="00041877">
        <w:t>he latter is what Alaska will use</w:t>
      </w:r>
      <w:r>
        <w:t>.</w:t>
      </w:r>
      <w:r w:rsidRPr="00041877">
        <w:t xml:space="preserve">) Because the half-performance levels are about one-half standard deviation, movement from the mean of one half-performance level to the next (up or down) would reflect a substantial effect size (e.g., </w:t>
      </w:r>
      <w:r>
        <w:t>0</w:t>
      </w:r>
      <w:r w:rsidRPr="00041877">
        <w:t xml:space="preserve">.5). </w:t>
      </w:r>
      <w:r>
        <w:t>A</w:t>
      </w:r>
      <w:r w:rsidRPr="00041877">
        <w:t xml:space="preserve"> student close to the cut</w:t>
      </w:r>
      <w:r>
        <w:t xml:space="preserve"> </w:t>
      </w:r>
      <w:r w:rsidRPr="00041877">
        <w:t>score who moves just to the other side of the cut</w:t>
      </w:r>
      <w:r>
        <w:t xml:space="preserve"> </w:t>
      </w:r>
      <w:r w:rsidRPr="00041877">
        <w:t>score would reflect less growth</w:t>
      </w:r>
      <w:r>
        <w:t xml:space="preserve">; however, </w:t>
      </w:r>
      <w:r w:rsidRPr="00041877">
        <w:t>that is common to any growth measured by categorical changes.</w:t>
      </w:r>
    </w:p>
    <w:p w14:paraId="00189D40" w14:textId="446A9817" w:rsidR="00B1049D" w:rsidRDefault="00B1049D" w:rsidP="008903CE">
      <w:pPr>
        <w:rPr>
          <w:rFonts w:ascii="Calibri" w:hAnsi="Calibri"/>
        </w:rPr>
      </w:pPr>
      <w:r w:rsidRPr="00041877">
        <w:t xml:space="preserve">Validity involves an interpretation of scores, not just the score itself. The claim that the student has grown from one half-performance level to the next is a very straightforward interpretation based on the ALD ranges and the student’s initial and ending scale scores. A value table growth model based on </w:t>
      </w:r>
      <w:r w:rsidRPr="00041877">
        <w:lastRenderedPageBreak/>
        <w:t>achievement levels has the advantage of being quite transparent in terms of what the change in performance is, and how that change is incorporated into the accountability system.</w:t>
      </w:r>
    </w:p>
    <w:p w14:paraId="41ADF602" w14:textId="7402BD2A" w:rsidR="00C7105E" w:rsidRDefault="00C7105E" w:rsidP="006641B6">
      <w:pPr>
        <w:pStyle w:val="Default"/>
        <w:numPr>
          <w:ilvl w:val="0"/>
          <w:numId w:val="93"/>
        </w:numPr>
        <w:ind w:left="1440"/>
        <w:rPr>
          <w:rFonts w:ascii="Calibri" w:hAnsi="Calibri"/>
          <w:sz w:val="22"/>
          <w:szCs w:val="22"/>
        </w:rPr>
      </w:pPr>
      <w:r w:rsidRPr="008903CE">
        <w:rPr>
          <w:rFonts w:ascii="Calibri" w:hAnsi="Calibri"/>
          <w:sz w:val="22"/>
          <w:szCs w:val="22"/>
        </w:rPr>
        <w:t>Graduation Rate</w:t>
      </w:r>
      <w:r w:rsidRPr="00697AC2">
        <w:rPr>
          <w:rFonts w:ascii="Calibri" w:hAnsi="Calibri"/>
          <w:sz w:val="22"/>
          <w:szCs w:val="22"/>
        </w:rPr>
        <w:t>. Describe the Graduation Rate indicato</w:t>
      </w:r>
      <w:r>
        <w:rPr>
          <w:rFonts w:ascii="Calibri" w:hAnsi="Calibri"/>
          <w:sz w:val="22"/>
          <w:szCs w:val="22"/>
        </w:rPr>
        <w:t xml:space="preserve">r, including a description of </w:t>
      </w:r>
    </w:p>
    <w:p w14:paraId="49C38551" w14:textId="77777777" w:rsidR="00C7105E" w:rsidRDefault="00C7105E" w:rsidP="006641B6">
      <w:pPr>
        <w:pStyle w:val="Default"/>
        <w:numPr>
          <w:ilvl w:val="0"/>
          <w:numId w:val="36"/>
        </w:numPr>
        <w:rPr>
          <w:rFonts w:ascii="Calibri" w:hAnsi="Calibri"/>
          <w:sz w:val="22"/>
          <w:szCs w:val="22"/>
        </w:rPr>
      </w:pPr>
      <w:r w:rsidRPr="00697AC2">
        <w:rPr>
          <w:rFonts w:ascii="Calibri" w:hAnsi="Calibri"/>
          <w:sz w:val="22"/>
          <w:szCs w:val="22"/>
        </w:rPr>
        <w:t xml:space="preserve">how the indicator is based on the long-term </w:t>
      </w:r>
      <w:r>
        <w:rPr>
          <w:rFonts w:ascii="Calibri" w:hAnsi="Calibri"/>
          <w:sz w:val="22"/>
          <w:szCs w:val="22"/>
        </w:rPr>
        <w:t xml:space="preserve">goals; </w:t>
      </w:r>
    </w:p>
    <w:p w14:paraId="6CDE3F0D" w14:textId="77777777" w:rsidR="00C7105E" w:rsidRDefault="00C7105E" w:rsidP="006641B6">
      <w:pPr>
        <w:pStyle w:val="Default"/>
        <w:numPr>
          <w:ilvl w:val="0"/>
          <w:numId w:val="36"/>
        </w:numPr>
        <w:rPr>
          <w:rFonts w:ascii="Calibri" w:hAnsi="Calibri"/>
          <w:sz w:val="22"/>
          <w:szCs w:val="22"/>
        </w:rPr>
      </w:pPr>
      <w:r>
        <w:rPr>
          <w:rFonts w:ascii="Calibri" w:hAnsi="Calibri"/>
          <w:sz w:val="22"/>
          <w:szCs w:val="22"/>
        </w:rPr>
        <w:t xml:space="preserve">how the indicator annually </w:t>
      </w:r>
      <w:r w:rsidRPr="00697AC2">
        <w:rPr>
          <w:rFonts w:ascii="Calibri" w:hAnsi="Calibri"/>
          <w:sz w:val="22"/>
          <w:szCs w:val="22"/>
        </w:rPr>
        <w:t>measures graduation rate for all students and separately f</w:t>
      </w:r>
      <w:r>
        <w:rPr>
          <w:rFonts w:ascii="Calibri" w:hAnsi="Calibri"/>
          <w:sz w:val="22"/>
          <w:szCs w:val="22"/>
        </w:rPr>
        <w:t xml:space="preserve">or each subgroup of students; </w:t>
      </w:r>
    </w:p>
    <w:p w14:paraId="2525D2A1" w14:textId="77777777" w:rsidR="00C7105E" w:rsidRDefault="00C7105E" w:rsidP="006641B6">
      <w:pPr>
        <w:pStyle w:val="Default"/>
        <w:numPr>
          <w:ilvl w:val="0"/>
          <w:numId w:val="36"/>
        </w:numPr>
        <w:rPr>
          <w:rFonts w:ascii="Calibri" w:hAnsi="Calibri"/>
          <w:sz w:val="22"/>
          <w:szCs w:val="22"/>
        </w:rPr>
      </w:pPr>
      <w:r w:rsidRPr="00697AC2">
        <w:rPr>
          <w:rFonts w:ascii="Calibri" w:hAnsi="Calibri"/>
          <w:sz w:val="22"/>
          <w:szCs w:val="22"/>
        </w:rPr>
        <w:t>how the indicator is based on the four-year adjusted co</w:t>
      </w:r>
      <w:r>
        <w:rPr>
          <w:rFonts w:ascii="Calibri" w:hAnsi="Calibri"/>
          <w:sz w:val="22"/>
          <w:szCs w:val="22"/>
        </w:rPr>
        <w:t xml:space="preserve">hort graduation rate; </w:t>
      </w:r>
    </w:p>
    <w:p w14:paraId="370E3C89" w14:textId="77777777" w:rsidR="00C7105E" w:rsidRDefault="00C7105E" w:rsidP="006641B6">
      <w:pPr>
        <w:pStyle w:val="Default"/>
        <w:numPr>
          <w:ilvl w:val="0"/>
          <w:numId w:val="36"/>
        </w:numPr>
        <w:rPr>
          <w:rFonts w:ascii="Calibri" w:hAnsi="Calibri"/>
          <w:sz w:val="22"/>
          <w:szCs w:val="22"/>
        </w:rPr>
      </w:pPr>
      <w:r>
        <w:rPr>
          <w:rFonts w:ascii="Calibri" w:hAnsi="Calibri"/>
          <w:sz w:val="22"/>
          <w:szCs w:val="22"/>
        </w:rPr>
        <w:t xml:space="preserve">if </w:t>
      </w:r>
      <w:r w:rsidRPr="00697AC2">
        <w:rPr>
          <w:rFonts w:ascii="Calibri" w:hAnsi="Calibri"/>
          <w:sz w:val="22"/>
          <w:szCs w:val="22"/>
        </w:rPr>
        <w:t xml:space="preserve">the State, at its discretion, also includes one or more </w:t>
      </w:r>
      <w:r>
        <w:rPr>
          <w:rFonts w:ascii="Calibri" w:hAnsi="Calibri"/>
          <w:sz w:val="22"/>
          <w:szCs w:val="22"/>
        </w:rPr>
        <w:t xml:space="preserve">extended-year adjusted cohort </w:t>
      </w:r>
      <w:r w:rsidRPr="00697AC2">
        <w:rPr>
          <w:rFonts w:ascii="Calibri" w:hAnsi="Calibri"/>
          <w:sz w:val="22"/>
          <w:szCs w:val="22"/>
        </w:rPr>
        <w:t>graduation rates, how the four-year adjusted cohort gra</w:t>
      </w:r>
      <w:r>
        <w:rPr>
          <w:rFonts w:ascii="Calibri" w:hAnsi="Calibri"/>
          <w:sz w:val="22"/>
          <w:szCs w:val="22"/>
        </w:rPr>
        <w:t xml:space="preserve">duation rate is combined with </w:t>
      </w:r>
      <w:r w:rsidRPr="00697AC2">
        <w:rPr>
          <w:rFonts w:ascii="Calibri" w:hAnsi="Calibri"/>
          <w:sz w:val="22"/>
          <w:szCs w:val="22"/>
        </w:rPr>
        <w:t>that rate or r</w:t>
      </w:r>
      <w:r>
        <w:rPr>
          <w:rFonts w:ascii="Calibri" w:hAnsi="Calibri"/>
          <w:sz w:val="22"/>
          <w:szCs w:val="22"/>
        </w:rPr>
        <w:t xml:space="preserve">ates within the indicator; and </w:t>
      </w:r>
    </w:p>
    <w:p w14:paraId="383529A3" w14:textId="77777777" w:rsidR="00C7105E" w:rsidRPr="00697AC2" w:rsidRDefault="00C7105E" w:rsidP="006641B6">
      <w:pPr>
        <w:pStyle w:val="Default"/>
        <w:numPr>
          <w:ilvl w:val="0"/>
          <w:numId w:val="36"/>
        </w:numPr>
        <w:spacing w:after="120"/>
        <w:rPr>
          <w:rFonts w:ascii="Calibri" w:hAnsi="Calibri"/>
          <w:sz w:val="22"/>
          <w:szCs w:val="22"/>
        </w:rPr>
      </w:pPr>
      <w:r w:rsidRPr="00697AC2">
        <w:rPr>
          <w:rFonts w:ascii="Calibri" w:hAnsi="Calibri"/>
          <w:sz w:val="22"/>
          <w:szCs w:val="22"/>
        </w:rPr>
        <w:t xml:space="preserve">if applicable, </w:t>
      </w:r>
      <w:r>
        <w:rPr>
          <w:rFonts w:ascii="Calibri" w:hAnsi="Calibri"/>
          <w:sz w:val="22"/>
          <w:szCs w:val="22"/>
        </w:rPr>
        <w:t xml:space="preserve">how the State includes in its </w:t>
      </w:r>
      <w:r w:rsidRPr="00697AC2">
        <w:rPr>
          <w:rFonts w:ascii="Calibri" w:hAnsi="Calibri"/>
          <w:sz w:val="22"/>
          <w:szCs w:val="22"/>
        </w:rPr>
        <w:t>four-year adjusted cohort graduation rate and any e</w:t>
      </w:r>
      <w:r>
        <w:rPr>
          <w:rFonts w:ascii="Calibri" w:hAnsi="Calibri"/>
          <w:sz w:val="22"/>
          <w:szCs w:val="22"/>
        </w:rPr>
        <w:t xml:space="preserve">xtended-year adjusted cohort </w:t>
      </w:r>
      <w:r w:rsidRPr="00697AC2">
        <w:rPr>
          <w:rFonts w:ascii="Calibri" w:hAnsi="Calibri"/>
          <w:sz w:val="22"/>
          <w:szCs w:val="22"/>
        </w:rPr>
        <w:t xml:space="preserve">graduation rates </w:t>
      </w:r>
      <w:r w:rsidRPr="00697AC2">
        <w:rPr>
          <w:rFonts w:ascii="Calibri" w:hAnsi="Calibri"/>
          <w:color w:val="auto"/>
          <w:sz w:val="22"/>
          <w:szCs w:val="22"/>
        </w:rPr>
        <w:t xml:space="preserve">students with the most significant cognitive disabilities assessed using an alternate assessment aligned to alternate academic achievement standards under ESEA section 1111(b)(2)(D) and awarded a State-defined alternate diploma under ESEA section 8101(23) and (25). </w:t>
      </w:r>
    </w:p>
    <w:p w14:paraId="79119C26" w14:textId="77777777" w:rsidR="00C7105E" w:rsidRDefault="00C7105E" w:rsidP="008903CE">
      <w:r>
        <w:t xml:space="preserve">Alaska will measure and report the four- and five-year adjusted cohort graduation rates for the all students group and for all subgroups present in a school. While the indicator will be measured and reported for all students and all subgroups, for the purpose of inclusion in the index, schools will earn between zero and 100 points equal to the four-year rate for the all students group only, and </w:t>
      </w:r>
      <w:r w:rsidRPr="004E2487">
        <w:t xml:space="preserve">between zero and 100 points equal to the </w:t>
      </w:r>
      <w:r>
        <w:t>five</w:t>
      </w:r>
      <w:r w:rsidRPr="004E2487">
        <w:t>-year rate for the all students group only</w:t>
      </w:r>
      <w:r>
        <w:t>. The four-year rate will receive 15 percent of the weight assigned to the 7-12 portion of the accountability score, and the five-year rate will receive five percent of the weight assigned to the 7-12 portion of the accountability score. The indicator is based on the long-term goals. S</w:t>
      </w:r>
      <w:r w:rsidRPr="00B55507">
        <w:t>chools with a four-year rate of at least 90 percent and schools with a five-year rate of at least 93 percent will receive the most points because points are based on the actual rate.</w:t>
      </w:r>
      <w:r>
        <w:t xml:space="preserve"> Alaska will take advantage of the flexibility under ESSA Section 8101(23) and 8101(25) for very small schools by requiring a minimum number of 10 students in an adjusted cohort, below which the school will be exempt from differentiation and identification for accountability. At this time, Alaska does not propose creating or awarding a State-defined alternate diploma to students with the most significant cognitive disabilities.</w:t>
      </w:r>
    </w:p>
    <w:p w14:paraId="12F4C442" w14:textId="77777777" w:rsidR="00C7105E" w:rsidRPr="006641B6" w:rsidRDefault="00C7105E" w:rsidP="006641B6">
      <w:pPr>
        <w:pStyle w:val="Default"/>
        <w:numPr>
          <w:ilvl w:val="0"/>
          <w:numId w:val="93"/>
        </w:numPr>
        <w:spacing w:after="120"/>
        <w:ind w:left="1440"/>
        <w:rPr>
          <w:rFonts w:ascii="Calibri" w:hAnsi="Calibri"/>
          <w:sz w:val="22"/>
          <w:szCs w:val="22"/>
        </w:rPr>
      </w:pPr>
      <w:r w:rsidRPr="006641B6">
        <w:rPr>
          <w:rFonts w:ascii="Calibri" w:hAnsi="Calibri"/>
          <w:sz w:val="22"/>
          <w:szCs w:val="22"/>
        </w:rPr>
        <w:t xml:space="preserve">Progress in Achieving English Language Proficiency (ELP) Indicator. Describe the Progress in Achieving ELP indicator, including the State’s definition of ELP, as measured by the State ELP assessment. </w:t>
      </w:r>
    </w:p>
    <w:p w14:paraId="226D927C" w14:textId="77777777" w:rsidR="00C7105E" w:rsidRDefault="00C7105E" w:rsidP="00A6180D">
      <w:pPr>
        <w:rPr>
          <w:rFonts w:ascii="Calibri" w:hAnsi="Calibri"/>
        </w:rPr>
      </w:pPr>
      <w:r>
        <w:rPr>
          <w:rFonts w:ascii="Calibri" w:hAnsi="Calibri"/>
        </w:rPr>
        <w:t xml:space="preserve">Alaska will measure the percentage of eligible English learners (ELs) in each school that meet the definition of making progress in achieving proficiency in English, as measured by the state </w:t>
      </w:r>
      <w:r w:rsidRPr="005D71CD">
        <w:rPr>
          <w:rFonts w:ascii="Calibri" w:hAnsi="Calibri"/>
        </w:rPr>
        <w:t xml:space="preserve">English Language Proficiency </w:t>
      </w:r>
      <w:r>
        <w:rPr>
          <w:rFonts w:ascii="Calibri" w:hAnsi="Calibri"/>
        </w:rPr>
        <w:t xml:space="preserve">(ELP) assessment, WIDA ACCESS for ELLs 2.0. Schools will earn points based on the percentage of ELs making progress. </w:t>
      </w:r>
    </w:p>
    <w:p w14:paraId="75C3278E" w14:textId="77777777" w:rsidR="00C7105E" w:rsidRDefault="00C7105E" w:rsidP="003D21AF">
      <w:pPr>
        <w:autoSpaceDE w:val="0"/>
        <w:autoSpaceDN w:val="0"/>
        <w:adjustRightInd w:val="0"/>
        <w:rPr>
          <w:rFonts w:cs="Times New Roman"/>
        </w:rPr>
      </w:pPr>
      <w:r w:rsidRPr="00E9074F">
        <w:rPr>
          <w:rFonts w:cs="Times New Roman"/>
        </w:rPr>
        <w:t>Alaska defines an English learner (EL) as one who meets the criteria to be considered as an English learner under ESEA as amended by ESSA section 8101(20) and Alaska regulation 4 AAC 34.090(2)</w:t>
      </w:r>
      <w:r>
        <w:rPr>
          <w:rFonts w:cs="Times New Roman"/>
        </w:rPr>
        <w:t xml:space="preserve">. </w:t>
      </w:r>
      <w:r w:rsidRPr="003D21AF">
        <w:rPr>
          <w:rFonts w:cs="Times New Roman"/>
        </w:rPr>
        <w:t>Upon enrollment, districts follow the pre-screening process to identify potential ELs</w:t>
      </w:r>
      <w:r>
        <w:rPr>
          <w:rFonts w:cs="Times New Roman"/>
        </w:rPr>
        <w:t xml:space="preserve">. This is typically accomplished </w:t>
      </w:r>
      <w:r w:rsidRPr="003D21AF">
        <w:rPr>
          <w:rFonts w:cs="Times New Roman"/>
        </w:rPr>
        <w:t xml:space="preserve">by </w:t>
      </w:r>
      <w:r>
        <w:rPr>
          <w:rFonts w:cs="Times New Roman"/>
        </w:rPr>
        <w:t xml:space="preserve">having </w:t>
      </w:r>
      <w:r w:rsidRPr="003D21AF">
        <w:rPr>
          <w:rFonts w:cs="Times New Roman"/>
        </w:rPr>
        <w:t>parents complete the Home Language Survey</w:t>
      </w:r>
      <w:r>
        <w:rPr>
          <w:rFonts w:cs="Times New Roman"/>
        </w:rPr>
        <w:t xml:space="preserve"> </w:t>
      </w:r>
      <w:r w:rsidRPr="003D21AF">
        <w:rPr>
          <w:rFonts w:cs="Times New Roman"/>
        </w:rPr>
        <w:t>and perhaps having teachers complete the optional Language Observation Checklist</w:t>
      </w:r>
      <w:r>
        <w:rPr>
          <w:rFonts w:cs="Times New Roman"/>
        </w:rPr>
        <w:t xml:space="preserve">. Through this process, districts identify students eligible for a state-approved screening assessment, which will indicate a student’s English language </w:t>
      </w:r>
      <w:r>
        <w:rPr>
          <w:rFonts w:cs="Times New Roman"/>
        </w:rPr>
        <w:lastRenderedPageBreak/>
        <w:t>proficiency. When the student’s screener performance falls below a minimum score, the district identifies the student as an EL.</w:t>
      </w:r>
    </w:p>
    <w:p w14:paraId="2E5BD615" w14:textId="77777777" w:rsidR="00C7105E" w:rsidRDefault="00C7105E" w:rsidP="00A6180D">
      <w:pPr>
        <w:autoSpaceDE w:val="0"/>
        <w:autoSpaceDN w:val="0"/>
        <w:adjustRightInd w:val="0"/>
        <w:rPr>
          <w:rFonts w:cs="Times New Roman"/>
        </w:rPr>
      </w:pPr>
      <w:r w:rsidRPr="00E9074F">
        <w:rPr>
          <w:rFonts w:cs="Times New Roman"/>
        </w:rPr>
        <w:t>Alaska administers the ACCESS for ELLs 2.0 assessment as a measure of ELP. ACCESS for EL</w:t>
      </w:r>
      <w:r>
        <w:rPr>
          <w:rFonts w:cs="Times New Roman"/>
        </w:rPr>
        <w:t>L</w:t>
      </w:r>
      <w:r w:rsidRPr="00E9074F">
        <w:rPr>
          <w:rFonts w:cs="Times New Roman"/>
        </w:rPr>
        <w:t xml:space="preserve">s 2.0 measures proficiency in four domains: listening, reading, speaking, and writing. There are six </w:t>
      </w:r>
      <w:r>
        <w:rPr>
          <w:rFonts w:cs="Times New Roman"/>
        </w:rPr>
        <w:t xml:space="preserve">WIDA English language proficiency </w:t>
      </w:r>
      <w:r w:rsidRPr="00E9074F">
        <w:rPr>
          <w:rFonts w:cs="Times New Roman"/>
        </w:rPr>
        <w:t xml:space="preserve">levels, </w:t>
      </w:r>
      <w:r>
        <w:rPr>
          <w:rFonts w:cs="Times New Roman"/>
        </w:rPr>
        <w:t xml:space="preserve">identified as </w:t>
      </w:r>
      <w:r w:rsidRPr="00E9074F">
        <w:rPr>
          <w:rFonts w:cs="Times New Roman"/>
        </w:rPr>
        <w:t>(1) Entering, (2) Emerging, (3) Developing, (4) Expanding, (5) Bridging, and (6) Reaching.</w:t>
      </w:r>
    </w:p>
    <w:p w14:paraId="2A6BF297" w14:textId="77777777" w:rsidR="00C7105E" w:rsidRDefault="00C7105E" w:rsidP="00A6180D">
      <w:pPr>
        <w:autoSpaceDE w:val="0"/>
        <w:autoSpaceDN w:val="0"/>
        <w:adjustRightInd w:val="0"/>
        <w:rPr>
          <w:rFonts w:cs="Times New Roman"/>
        </w:rPr>
      </w:pPr>
      <w:r>
        <w:rPr>
          <w:rFonts w:cs="Times New Roman"/>
        </w:rPr>
        <w:t xml:space="preserve">Alaska has </w:t>
      </w:r>
      <w:r w:rsidRPr="00E9074F">
        <w:rPr>
          <w:rFonts w:cs="Times New Roman"/>
        </w:rPr>
        <w:t xml:space="preserve">considered </w:t>
      </w:r>
      <w:r>
        <w:rPr>
          <w:rFonts w:cs="Times New Roman"/>
        </w:rPr>
        <w:t xml:space="preserve">ELs </w:t>
      </w:r>
      <w:r w:rsidRPr="00E9074F">
        <w:rPr>
          <w:rFonts w:cs="Times New Roman"/>
        </w:rPr>
        <w:t>proficient in the Engli</w:t>
      </w:r>
      <w:r>
        <w:rPr>
          <w:rFonts w:cs="Times New Roman"/>
        </w:rPr>
        <w:t xml:space="preserve">sh language when they achieved an overall </w:t>
      </w:r>
      <w:r w:rsidRPr="00E9074F">
        <w:rPr>
          <w:rFonts w:cs="Times New Roman"/>
        </w:rPr>
        <w:t xml:space="preserve">composite </w:t>
      </w:r>
      <w:r>
        <w:rPr>
          <w:rFonts w:cs="Times New Roman"/>
        </w:rPr>
        <w:t xml:space="preserve">proficiency level </w:t>
      </w:r>
      <w:r w:rsidRPr="00E9074F">
        <w:rPr>
          <w:rFonts w:cs="Times New Roman"/>
        </w:rPr>
        <w:t>(</w:t>
      </w:r>
      <w:r>
        <w:rPr>
          <w:rFonts w:cs="Times New Roman"/>
        </w:rPr>
        <w:t>CPL</w:t>
      </w:r>
      <w:r w:rsidRPr="00E9074F">
        <w:rPr>
          <w:rFonts w:cs="Times New Roman"/>
        </w:rPr>
        <w:t>) of 5.0 or higher and at least a 4.0 in each of the four domains</w:t>
      </w:r>
      <w:r>
        <w:rPr>
          <w:rFonts w:cs="Times New Roman"/>
        </w:rPr>
        <w:t>. Beginning with the 2017-2018 school year, the exit criteria is proposed to change to a 4.5 overall CPL with a minimum score of 3.8 in writing and 4.0 in all other domains. A s</w:t>
      </w:r>
      <w:r w:rsidRPr="00E9074F">
        <w:rPr>
          <w:rFonts w:cs="Times New Roman"/>
        </w:rPr>
        <w:t>tudent remain</w:t>
      </w:r>
      <w:r>
        <w:rPr>
          <w:rFonts w:cs="Times New Roman"/>
        </w:rPr>
        <w:t>s</w:t>
      </w:r>
      <w:r w:rsidRPr="00E9074F">
        <w:rPr>
          <w:rFonts w:cs="Times New Roman"/>
        </w:rPr>
        <w:t xml:space="preserve"> identified as </w:t>
      </w:r>
      <w:r>
        <w:rPr>
          <w:rFonts w:cs="Times New Roman"/>
        </w:rPr>
        <w:t xml:space="preserve">an </w:t>
      </w:r>
      <w:r w:rsidRPr="00E9074F">
        <w:rPr>
          <w:rFonts w:cs="Times New Roman"/>
        </w:rPr>
        <w:t xml:space="preserve">English learner until the end of the school year in which they </w:t>
      </w:r>
      <w:r>
        <w:rPr>
          <w:rFonts w:cs="Times New Roman"/>
        </w:rPr>
        <w:t xml:space="preserve">meet the exit criteria </w:t>
      </w:r>
      <w:r w:rsidRPr="00E9074F">
        <w:rPr>
          <w:rFonts w:cs="Times New Roman"/>
        </w:rPr>
        <w:t xml:space="preserve">on ACCESS for ELLs 2.0 </w:t>
      </w:r>
      <w:r>
        <w:rPr>
          <w:rFonts w:cs="Times New Roman"/>
        </w:rPr>
        <w:t xml:space="preserve">and </w:t>
      </w:r>
      <w:r w:rsidRPr="00E9074F">
        <w:rPr>
          <w:rFonts w:cs="Times New Roman"/>
        </w:rPr>
        <w:t>exit EL status.</w:t>
      </w:r>
      <w:r>
        <w:rPr>
          <w:rFonts w:cs="Times New Roman"/>
        </w:rPr>
        <w:t xml:space="preserve"> (See Title III, Part A Section 1 for a complete description of entrance and exit criteria.)</w:t>
      </w:r>
    </w:p>
    <w:p w14:paraId="46C6128A" w14:textId="77777777" w:rsidR="00C7105E" w:rsidRDefault="00C7105E" w:rsidP="00526DEC">
      <w:pPr>
        <w:rPr>
          <w:rFonts w:ascii="Calibri" w:hAnsi="Calibri"/>
        </w:rPr>
      </w:pPr>
      <w:r>
        <w:rPr>
          <w:rFonts w:ascii="Calibri" w:hAnsi="Calibri"/>
        </w:rPr>
        <w:t xml:space="preserve">The ACCESS for ELLs 2.0 overall CPL is reported as a number with one decimal digit between 1.0 and 6.0. Alaska’s definition of making progress in learning English has been a gain of at least 0.4 on the overall CPL from the previous year. Beginning with the 2017-2018 ACCESS for ELLs 2.0 data, the </w:t>
      </w:r>
      <w:r w:rsidRPr="00526DEC">
        <w:rPr>
          <w:rFonts w:ascii="Calibri" w:hAnsi="Calibri"/>
        </w:rPr>
        <w:t xml:space="preserve">change in </w:t>
      </w:r>
      <w:r>
        <w:rPr>
          <w:rFonts w:ascii="Calibri" w:hAnsi="Calibri"/>
        </w:rPr>
        <w:t xml:space="preserve">overall </w:t>
      </w:r>
      <w:r w:rsidRPr="00526DEC">
        <w:rPr>
          <w:rFonts w:ascii="Calibri" w:hAnsi="Calibri"/>
        </w:rPr>
        <w:t xml:space="preserve">CPL needed for each individual student </w:t>
      </w:r>
      <w:r>
        <w:rPr>
          <w:rFonts w:ascii="Calibri" w:hAnsi="Calibri"/>
        </w:rPr>
        <w:t xml:space="preserve">to make progress will be </w:t>
      </w:r>
      <w:r w:rsidRPr="00526DEC">
        <w:rPr>
          <w:rFonts w:ascii="Calibri" w:hAnsi="Calibri"/>
        </w:rPr>
        <w:t>based on the expected number of years needed to reach proficiency</w:t>
      </w:r>
      <w:r>
        <w:rPr>
          <w:rFonts w:ascii="Calibri" w:hAnsi="Calibri"/>
        </w:rPr>
        <w:t xml:space="preserve"> and the most recent overall CPL.</w:t>
      </w:r>
    </w:p>
    <w:p w14:paraId="29B44097" w14:textId="1975EB66" w:rsidR="00C7105E" w:rsidRDefault="00C7105E" w:rsidP="00526DEC">
      <w:pPr>
        <w:rPr>
          <w:rFonts w:ascii="Calibri" w:hAnsi="Calibri"/>
        </w:rPr>
      </w:pPr>
      <w:r>
        <w:rPr>
          <w:rFonts w:ascii="Calibri" w:hAnsi="Calibri"/>
        </w:rPr>
        <w:t>Alaska’s expectation is that students identified as English learners will reach proficiency in a maximum of seven years after the year of initial identification. A student with an overall CPL between 1.0 and 1.9 in the year of initial identification will have seven additional years to meet the exit criteria. S</w:t>
      </w:r>
      <w:r w:rsidRPr="00526DEC">
        <w:rPr>
          <w:rFonts w:ascii="Calibri" w:hAnsi="Calibri"/>
        </w:rPr>
        <w:t>tudent</w:t>
      </w:r>
      <w:r>
        <w:rPr>
          <w:rFonts w:ascii="Calibri" w:hAnsi="Calibri"/>
        </w:rPr>
        <w:t>s</w:t>
      </w:r>
      <w:r w:rsidRPr="00526DEC">
        <w:rPr>
          <w:rFonts w:ascii="Calibri" w:hAnsi="Calibri"/>
        </w:rPr>
        <w:t xml:space="preserve"> who scored at higher level</w:t>
      </w:r>
      <w:r>
        <w:rPr>
          <w:rFonts w:ascii="Calibri" w:hAnsi="Calibri"/>
        </w:rPr>
        <w:t>s</w:t>
      </w:r>
      <w:r w:rsidRPr="00526DEC">
        <w:rPr>
          <w:rFonts w:ascii="Calibri" w:hAnsi="Calibri"/>
        </w:rPr>
        <w:t xml:space="preserve"> of English proficiency </w:t>
      </w:r>
      <w:r>
        <w:rPr>
          <w:rFonts w:ascii="Calibri" w:hAnsi="Calibri"/>
        </w:rPr>
        <w:t>during the year of</w:t>
      </w:r>
      <w:r w:rsidRPr="00526DEC">
        <w:rPr>
          <w:rFonts w:ascii="Calibri" w:hAnsi="Calibri"/>
        </w:rPr>
        <w:t xml:space="preserve"> initial identification would be expected to attain proficiency in </w:t>
      </w:r>
      <w:r>
        <w:rPr>
          <w:rFonts w:ascii="Calibri" w:hAnsi="Calibri"/>
        </w:rPr>
        <w:t>fewer</w:t>
      </w:r>
      <w:r w:rsidRPr="00526DEC">
        <w:rPr>
          <w:rFonts w:ascii="Calibri" w:hAnsi="Calibri"/>
        </w:rPr>
        <w:t xml:space="preserve"> than seven years. The chart below indicates </w:t>
      </w:r>
      <w:r>
        <w:rPr>
          <w:rFonts w:ascii="Calibri" w:hAnsi="Calibri"/>
        </w:rPr>
        <w:t>the maximum number of expected years to meet the exit criteria based on the overall CPL in the initial year of identification:</w:t>
      </w:r>
    </w:p>
    <w:tbl>
      <w:tblPr>
        <w:tblStyle w:val="TableGrid"/>
        <w:tblW w:w="0" w:type="auto"/>
        <w:jc w:val="center"/>
        <w:tblLook w:val="04A0" w:firstRow="1" w:lastRow="0" w:firstColumn="1" w:lastColumn="0" w:noHBand="0" w:noVBand="1"/>
        <w:tblDescription w:val="table demonstrating maximum years to meet exit criteria based on CPL in initial year"/>
      </w:tblPr>
      <w:tblGrid>
        <w:gridCol w:w="1412"/>
        <w:gridCol w:w="1620"/>
      </w:tblGrid>
      <w:tr w:rsidR="006641B6" w14:paraId="05D16803" w14:textId="77777777" w:rsidTr="005017F4">
        <w:trPr>
          <w:tblHeader/>
          <w:jc w:val="center"/>
        </w:trPr>
        <w:tc>
          <w:tcPr>
            <w:tcW w:w="1412" w:type="dxa"/>
            <w:vAlign w:val="center"/>
          </w:tcPr>
          <w:p w14:paraId="37DD5FF5" w14:textId="77777777" w:rsidR="006641B6" w:rsidRDefault="006641B6" w:rsidP="001E1A85">
            <w:pPr>
              <w:jc w:val="center"/>
              <w:rPr>
                <w:rFonts w:ascii="Calibri" w:hAnsi="Calibri"/>
              </w:rPr>
            </w:pPr>
            <w:r>
              <w:rPr>
                <w:rFonts w:ascii="Calibri" w:hAnsi="Calibri"/>
              </w:rPr>
              <w:t>Year 0: Initial Overall CPL</w:t>
            </w:r>
          </w:p>
        </w:tc>
        <w:tc>
          <w:tcPr>
            <w:tcW w:w="1620" w:type="dxa"/>
            <w:vAlign w:val="center"/>
          </w:tcPr>
          <w:p w14:paraId="42B71C9C" w14:textId="77777777" w:rsidR="006641B6" w:rsidRDefault="006641B6" w:rsidP="001E1A85">
            <w:pPr>
              <w:jc w:val="center"/>
              <w:rPr>
                <w:rFonts w:ascii="Calibri" w:hAnsi="Calibri"/>
              </w:rPr>
            </w:pPr>
            <w:r>
              <w:rPr>
                <w:rFonts w:ascii="Calibri" w:hAnsi="Calibri"/>
              </w:rPr>
              <w:t>Maximum Years to Meet Exit Criteria</w:t>
            </w:r>
          </w:p>
        </w:tc>
      </w:tr>
      <w:tr w:rsidR="006641B6" w14:paraId="6F49D836" w14:textId="77777777" w:rsidTr="005017F4">
        <w:trPr>
          <w:jc w:val="center"/>
        </w:trPr>
        <w:tc>
          <w:tcPr>
            <w:tcW w:w="1412" w:type="dxa"/>
            <w:vAlign w:val="center"/>
          </w:tcPr>
          <w:p w14:paraId="4D8FFEAD" w14:textId="77777777" w:rsidR="006641B6" w:rsidRDefault="006641B6" w:rsidP="001E1A85">
            <w:pPr>
              <w:jc w:val="center"/>
              <w:rPr>
                <w:rFonts w:ascii="Calibri" w:hAnsi="Calibri"/>
              </w:rPr>
            </w:pPr>
            <w:r>
              <w:rPr>
                <w:rFonts w:ascii="Calibri" w:hAnsi="Calibri"/>
              </w:rPr>
              <w:t>1.0 – 1.9</w:t>
            </w:r>
          </w:p>
        </w:tc>
        <w:tc>
          <w:tcPr>
            <w:tcW w:w="1620" w:type="dxa"/>
            <w:vAlign w:val="center"/>
          </w:tcPr>
          <w:p w14:paraId="282A068B" w14:textId="77777777" w:rsidR="006641B6" w:rsidRDefault="006641B6" w:rsidP="001E1A85">
            <w:pPr>
              <w:jc w:val="center"/>
              <w:rPr>
                <w:rFonts w:ascii="Calibri" w:hAnsi="Calibri"/>
              </w:rPr>
            </w:pPr>
            <w:r>
              <w:rPr>
                <w:rFonts w:ascii="Calibri" w:hAnsi="Calibri"/>
              </w:rPr>
              <w:t>Year 7</w:t>
            </w:r>
          </w:p>
        </w:tc>
      </w:tr>
      <w:tr w:rsidR="006641B6" w14:paraId="24415E13" w14:textId="77777777" w:rsidTr="005017F4">
        <w:trPr>
          <w:jc w:val="center"/>
        </w:trPr>
        <w:tc>
          <w:tcPr>
            <w:tcW w:w="1412" w:type="dxa"/>
            <w:vAlign w:val="center"/>
          </w:tcPr>
          <w:p w14:paraId="7EF88806" w14:textId="77777777" w:rsidR="006641B6" w:rsidRDefault="006641B6" w:rsidP="001E1A85">
            <w:pPr>
              <w:jc w:val="center"/>
              <w:rPr>
                <w:rFonts w:ascii="Calibri" w:hAnsi="Calibri"/>
              </w:rPr>
            </w:pPr>
            <w:r>
              <w:rPr>
                <w:rFonts w:ascii="Calibri" w:hAnsi="Calibri"/>
              </w:rPr>
              <w:t>2.0 – 2.9</w:t>
            </w:r>
          </w:p>
        </w:tc>
        <w:tc>
          <w:tcPr>
            <w:tcW w:w="1620" w:type="dxa"/>
            <w:vAlign w:val="center"/>
          </w:tcPr>
          <w:p w14:paraId="1F874A7D" w14:textId="77777777" w:rsidR="006641B6" w:rsidRDefault="006641B6" w:rsidP="001E1A85">
            <w:pPr>
              <w:jc w:val="center"/>
              <w:rPr>
                <w:rFonts w:ascii="Calibri" w:hAnsi="Calibri"/>
              </w:rPr>
            </w:pPr>
            <w:r>
              <w:rPr>
                <w:rFonts w:ascii="Calibri" w:hAnsi="Calibri"/>
              </w:rPr>
              <w:t>Year 6</w:t>
            </w:r>
          </w:p>
        </w:tc>
      </w:tr>
      <w:tr w:rsidR="006641B6" w14:paraId="26354BCC" w14:textId="77777777" w:rsidTr="005017F4">
        <w:trPr>
          <w:jc w:val="center"/>
        </w:trPr>
        <w:tc>
          <w:tcPr>
            <w:tcW w:w="1412" w:type="dxa"/>
            <w:vAlign w:val="center"/>
          </w:tcPr>
          <w:p w14:paraId="7AC2CF5F" w14:textId="77777777" w:rsidR="006641B6" w:rsidRDefault="006641B6" w:rsidP="001E1A85">
            <w:pPr>
              <w:jc w:val="center"/>
              <w:rPr>
                <w:rFonts w:ascii="Calibri" w:hAnsi="Calibri"/>
              </w:rPr>
            </w:pPr>
            <w:r>
              <w:rPr>
                <w:rFonts w:ascii="Calibri" w:hAnsi="Calibri"/>
              </w:rPr>
              <w:t>3.0 – 3.9</w:t>
            </w:r>
          </w:p>
        </w:tc>
        <w:tc>
          <w:tcPr>
            <w:tcW w:w="1620" w:type="dxa"/>
            <w:vAlign w:val="center"/>
          </w:tcPr>
          <w:p w14:paraId="1E9A72DD" w14:textId="77777777" w:rsidR="006641B6" w:rsidRDefault="006641B6" w:rsidP="001E1A85">
            <w:pPr>
              <w:jc w:val="center"/>
              <w:rPr>
                <w:rFonts w:ascii="Calibri" w:hAnsi="Calibri"/>
              </w:rPr>
            </w:pPr>
            <w:r>
              <w:rPr>
                <w:rFonts w:ascii="Calibri" w:hAnsi="Calibri"/>
              </w:rPr>
              <w:t>Year 5</w:t>
            </w:r>
          </w:p>
        </w:tc>
      </w:tr>
      <w:tr w:rsidR="006641B6" w14:paraId="536BC9CD" w14:textId="77777777" w:rsidTr="005017F4">
        <w:trPr>
          <w:jc w:val="center"/>
        </w:trPr>
        <w:tc>
          <w:tcPr>
            <w:tcW w:w="1412" w:type="dxa"/>
            <w:vAlign w:val="center"/>
          </w:tcPr>
          <w:p w14:paraId="65A99DD5" w14:textId="77777777" w:rsidR="006641B6" w:rsidRDefault="006641B6" w:rsidP="001E1A85">
            <w:pPr>
              <w:jc w:val="center"/>
              <w:rPr>
                <w:rFonts w:ascii="Calibri" w:hAnsi="Calibri"/>
              </w:rPr>
            </w:pPr>
            <w:r>
              <w:rPr>
                <w:rFonts w:ascii="Calibri" w:hAnsi="Calibri"/>
              </w:rPr>
              <w:t>4.0 – 4.4</w:t>
            </w:r>
          </w:p>
        </w:tc>
        <w:tc>
          <w:tcPr>
            <w:tcW w:w="1620" w:type="dxa"/>
            <w:vAlign w:val="center"/>
          </w:tcPr>
          <w:p w14:paraId="3718F495" w14:textId="77777777" w:rsidR="006641B6" w:rsidRDefault="006641B6" w:rsidP="001E1A85">
            <w:pPr>
              <w:jc w:val="center"/>
              <w:rPr>
                <w:rFonts w:ascii="Calibri" w:hAnsi="Calibri"/>
              </w:rPr>
            </w:pPr>
            <w:r>
              <w:rPr>
                <w:rFonts w:ascii="Calibri" w:hAnsi="Calibri"/>
              </w:rPr>
              <w:t>Year 4</w:t>
            </w:r>
          </w:p>
        </w:tc>
      </w:tr>
    </w:tbl>
    <w:p w14:paraId="1AD21687" w14:textId="77777777" w:rsidR="00C7105E" w:rsidRDefault="00C7105E" w:rsidP="006641B6">
      <w:pPr>
        <w:spacing w:before="120"/>
        <w:rPr>
          <w:rFonts w:ascii="Calibri" w:hAnsi="Calibri"/>
        </w:rPr>
      </w:pPr>
      <w:r>
        <w:rPr>
          <w:rFonts w:ascii="Calibri" w:hAnsi="Calibri"/>
        </w:rPr>
        <w:t>Student progress toward English language proficiency is not linear.</w:t>
      </w:r>
      <w:r w:rsidRPr="00526DEC">
        <w:rPr>
          <w:rFonts w:ascii="Calibri" w:hAnsi="Calibri"/>
        </w:rPr>
        <w:t xml:space="preserve"> </w:t>
      </w:r>
      <w:r>
        <w:rPr>
          <w:rFonts w:ascii="Calibri" w:hAnsi="Calibri"/>
        </w:rPr>
        <w:t>Recognizing this, Alaska will calculate the expected level of growth in the overall CPL annually for each student based on the student’s most recent overall CPL and the number of expected years remaining to reach an overall CPL of 4.5. The following table provides the expected progression for a hypothetical English learner:</w:t>
      </w:r>
    </w:p>
    <w:tbl>
      <w:tblPr>
        <w:tblW w:w="8040" w:type="dxa"/>
        <w:jc w:val="center"/>
        <w:tblLook w:val="04A0" w:firstRow="1" w:lastRow="0" w:firstColumn="1" w:lastColumn="0" w:noHBand="0" w:noVBand="1"/>
      </w:tblPr>
      <w:tblGrid>
        <w:gridCol w:w="1340"/>
        <w:gridCol w:w="1340"/>
        <w:gridCol w:w="1340"/>
        <w:gridCol w:w="1340"/>
        <w:gridCol w:w="1340"/>
        <w:gridCol w:w="1340"/>
      </w:tblGrid>
      <w:tr w:rsidR="006641B6" w:rsidRPr="00B4426E" w14:paraId="5C19CB65" w14:textId="77777777" w:rsidTr="006641B6">
        <w:trPr>
          <w:trHeight w:val="1500"/>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605A"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lastRenderedPageBreak/>
              <w:t>Year</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9C92945"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Expected growth</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5412E55"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Target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09B4CCC"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Actual overall CPL</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0DDE063"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Met target?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AF60B3C"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Years remaining to achieve overall CPL of 4.5</w:t>
            </w:r>
          </w:p>
        </w:tc>
      </w:tr>
      <w:tr w:rsidR="006641B6" w:rsidRPr="00B4426E" w14:paraId="477ACDC2"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49CD049"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0</w:t>
            </w:r>
          </w:p>
        </w:tc>
        <w:tc>
          <w:tcPr>
            <w:tcW w:w="1340" w:type="dxa"/>
            <w:tcBorders>
              <w:top w:val="nil"/>
              <w:left w:val="nil"/>
              <w:bottom w:val="single" w:sz="4" w:space="0" w:color="auto"/>
              <w:right w:val="single" w:sz="4" w:space="0" w:color="auto"/>
            </w:tcBorders>
            <w:shd w:val="clear" w:color="auto" w:fill="auto"/>
            <w:noWrap/>
            <w:vAlign w:val="center"/>
            <w:hideMark/>
          </w:tcPr>
          <w:p w14:paraId="6EEF5E41"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n/a</w:t>
            </w:r>
          </w:p>
        </w:tc>
        <w:tc>
          <w:tcPr>
            <w:tcW w:w="1340" w:type="dxa"/>
            <w:tcBorders>
              <w:top w:val="nil"/>
              <w:left w:val="nil"/>
              <w:bottom w:val="single" w:sz="4" w:space="0" w:color="auto"/>
              <w:right w:val="single" w:sz="4" w:space="0" w:color="auto"/>
            </w:tcBorders>
            <w:shd w:val="clear" w:color="auto" w:fill="auto"/>
            <w:noWrap/>
            <w:vAlign w:val="center"/>
            <w:hideMark/>
          </w:tcPr>
          <w:p w14:paraId="6FFFC65E"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n/a</w:t>
            </w:r>
          </w:p>
        </w:tc>
        <w:tc>
          <w:tcPr>
            <w:tcW w:w="1340" w:type="dxa"/>
            <w:tcBorders>
              <w:top w:val="nil"/>
              <w:left w:val="nil"/>
              <w:bottom w:val="single" w:sz="4" w:space="0" w:color="auto"/>
              <w:right w:val="single" w:sz="4" w:space="0" w:color="auto"/>
            </w:tcBorders>
            <w:shd w:val="clear" w:color="auto" w:fill="auto"/>
            <w:noWrap/>
            <w:vAlign w:val="center"/>
            <w:hideMark/>
          </w:tcPr>
          <w:p w14:paraId="4269ED93"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1.0</w:t>
            </w:r>
          </w:p>
        </w:tc>
        <w:tc>
          <w:tcPr>
            <w:tcW w:w="1340" w:type="dxa"/>
            <w:tcBorders>
              <w:top w:val="nil"/>
              <w:left w:val="nil"/>
              <w:bottom w:val="single" w:sz="4" w:space="0" w:color="auto"/>
              <w:right w:val="single" w:sz="4" w:space="0" w:color="auto"/>
            </w:tcBorders>
            <w:shd w:val="clear" w:color="auto" w:fill="auto"/>
            <w:noWrap/>
            <w:vAlign w:val="center"/>
            <w:hideMark/>
          </w:tcPr>
          <w:p w14:paraId="74CBE9C1"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n/a</w:t>
            </w:r>
          </w:p>
        </w:tc>
        <w:tc>
          <w:tcPr>
            <w:tcW w:w="1340" w:type="dxa"/>
            <w:tcBorders>
              <w:top w:val="nil"/>
              <w:left w:val="nil"/>
              <w:bottom w:val="single" w:sz="4" w:space="0" w:color="auto"/>
              <w:right w:val="single" w:sz="4" w:space="0" w:color="auto"/>
            </w:tcBorders>
            <w:shd w:val="clear" w:color="auto" w:fill="auto"/>
            <w:noWrap/>
            <w:vAlign w:val="center"/>
            <w:hideMark/>
          </w:tcPr>
          <w:p w14:paraId="4DD38AA5"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7</w:t>
            </w:r>
          </w:p>
        </w:tc>
      </w:tr>
      <w:tr w:rsidR="006641B6" w:rsidRPr="00B4426E" w14:paraId="42F86BA3"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D3461F1"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1</w:t>
            </w:r>
          </w:p>
        </w:tc>
        <w:tc>
          <w:tcPr>
            <w:tcW w:w="1340" w:type="dxa"/>
            <w:tcBorders>
              <w:top w:val="nil"/>
              <w:left w:val="nil"/>
              <w:bottom w:val="single" w:sz="4" w:space="0" w:color="auto"/>
              <w:right w:val="single" w:sz="4" w:space="0" w:color="auto"/>
            </w:tcBorders>
            <w:shd w:val="clear" w:color="auto" w:fill="auto"/>
            <w:noWrap/>
            <w:vAlign w:val="center"/>
            <w:hideMark/>
          </w:tcPr>
          <w:p w14:paraId="6D9E4BEA"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0.5</w:t>
            </w:r>
          </w:p>
        </w:tc>
        <w:tc>
          <w:tcPr>
            <w:tcW w:w="1340" w:type="dxa"/>
            <w:tcBorders>
              <w:top w:val="nil"/>
              <w:left w:val="nil"/>
              <w:bottom w:val="single" w:sz="4" w:space="0" w:color="auto"/>
              <w:right w:val="single" w:sz="4" w:space="0" w:color="auto"/>
            </w:tcBorders>
            <w:shd w:val="clear" w:color="auto" w:fill="auto"/>
            <w:noWrap/>
            <w:vAlign w:val="center"/>
            <w:hideMark/>
          </w:tcPr>
          <w:p w14:paraId="6CD34964"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1.5</w:t>
            </w:r>
          </w:p>
        </w:tc>
        <w:tc>
          <w:tcPr>
            <w:tcW w:w="1340" w:type="dxa"/>
            <w:tcBorders>
              <w:top w:val="nil"/>
              <w:left w:val="nil"/>
              <w:bottom w:val="single" w:sz="4" w:space="0" w:color="auto"/>
              <w:right w:val="single" w:sz="4" w:space="0" w:color="auto"/>
            </w:tcBorders>
            <w:shd w:val="clear" w:color="auto" w:fill="auto"/>
            <w:noWrap/>
            <w:vAlign w:val="center"/>
            <w:hideMark/>
          </w:tcPr>
          <w:p w14:paraId="00B36510"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2.7</w:t>
            </w:r>
          </w:p>
        </w:tc>
        <w:tc>
          <w:tcPr>
            <w:tcW w:w="1340" w:type="dxa"/>
            <w:tcBorders>
              <w:top w:val="nil"/>
              <w:left w:val="nil"/>
              <w:bottom w:val="single" w:sz="4" w:space="0" w:color="auto"/>
              <w:right w:val="single" w:sz="4" w:space="0" w:color="auto"/>
            </w:tcBorders>
            <w:shd w:val="clear" w:color="auto" w:fill="auto"/>
            <w:noWrap/>
            <w:vAlign w:val="center"/>
            <w:hideMark/>
          </w:tcPr>
          <w:p w14:paraId="7D38C14B"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Yes</w:t>
            </w:r>
          </w:p>
        </w:tc>
        <w:tc>
          <w:tcPr>
            <w:tcW w:w="1340" w:type="dxa"/>
            <w:tcBorders>
              <w:top w:val="nil"/>
              <w:left w:val="nil"/>
              <w:bottom w:val="single" w:sz="4" w:space="0" w:color="auto"/>
              <w:right w:val="single" w:sz="4" w:space="0" w:color="auto"/>
            </w:tcBorders>
            <w:shd w:val="clear" w:color="auto" w:fill="auto"/>
            <w:noWrap/>
            <w:vAlign w:val="center"/>
            <w:hideMark/>
          </w:tcPr>
          <w:p w14:paraId="055C5A14"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6</w:t>
            </w:r>
          </w:p>
        </w:tc>
      </w:tr>
      <w:tr w:rsidR="006641B6" w:rsidRPr="00B4426E" w14:paraId="460937EB"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F4612CC"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2</w:t>
            </w:r>
          </w:p>
        </w:tc>
        <w:tc>
          <w:tcPr>
            <w:tcW w:w="1340" w:type="dxa"/>
            <w:tcBorders>
              <w:top w:val="nil"/>
              <w:left w:val="nil"/>
              <w:bottom w:val="single" w:sz="4" w:space="0" w:color="auto"/>
              <w:right w:val="single" w:sz="4" w:space="0" w:color="auto"/>
            </w:tcBorders>
            <w:shd w:val="clear" w:color="auto" w:fill="auto"/>
            <w:noWrap/>
            <w:vAlign w:val="center"/>
            <w:hideMark/>
          </w:tcPr>
          <w:p w14:paraId="4E4BF9FE"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0.3</w:t>
            </w:r>
          </w:p>
        </w:tc>
        <w:tc>
          <w:tcPr>
            <w:tcW w:w="1340" w:type="dxa"/>
            <w:tcBorders>
              <w:top w:val="nil"/>
              <w:left w:val="nil"/>
              <w:bottom w:val="single" w:sz="4" w:space="0" w:color="auto"/>
              <w:right w:val="single" w:sz="4" w:space="0" w:color="auto"/>
            </w:tcBorders>
            <w:shd w:val="clear" w:color="auto" w:fill="auto"/>
            <w:noWrap/>
            <w:vAlign w:val="center"/>
            <w:hideMark/>
          </w:tcPr>
          <w:p w14:paraId="53C275F7"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3.0</w:t>
            </w:r>
          </w:p>
        </w:tc>
        <w:tc>
          <w:tcPr>
            <w:tcW w:w="1340" w:type="dxa"/>
            <w:tcBorders>
              <w:top w:val="nil"/>
              <w:left w:val="nil"/>
              <w:bottom w:val="single" w:sz="4" w:space="0" w:color="auto"/>
              <w:right w:val="single" w:sz="4" w:space="0" w:color="auto"/>
            </w:tcBorders>
            <w:shd w:val="clear" w:color="auto" w:fill="auto"/>
            <w:noWrap/>
            <w:vAlign w:val="center"/>
            <w:hideMark/>
          </w:tcPr>
          <w:p w14:paraId="663465C3"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3.5</w:t>
            </w:r>
          </w:p>
        </w:tc>
        <w:tc>
          <w:tcPr>
            <w:tcW w:w="1340" w:type="dxa"/>
            <w:tcBorders>
              <w:top w:val="nil"/>
              <w:left w:val="nil"/>
              <w:bottom w:val="single" w:sz="4" w:space="0" w:color="auto"/>
              <w:right w:val="single" w:sz="4" w:space="0" w:color="auto"/>
            </w:tcBorders>
            <w:shd w:val="clear" w:color="auto" w:fill="auto"/>
            <w:noWrap/>
            <w:vAlign w:val="center"/>
            <w:hideMark/>
          </w:tcPr>
          <w:p w14:paraId="0330CC4D"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Yes</w:t>
            </w:r>
          </w:p>
        </w:tc>
        <w:tc>
          <w:tcPr>
            <w:tcW w:w="1340" w:type="dxa"/>
            <w:tcBorders>
              <w:top w:val="nil"/>
              <w:left w:val="nil"/>
              <w:bottom w:val="single" w:sz="4" w:space="0" w:color="auto"/>
              <w:right w:val="single" w:sz="4" w:space="0" w:color="auto"/>
            </w:tcBorders>
            <w:shd w:val="clear" w:color="auto" w:fill="auto"/>
            <w:noWrap/>
            <w:vAlign w:val="center"/>
            <w:hideMark/>
          </w:tcPr>
          <w:p w14:paraId="021A4D04"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5</w:t>
            </w:r>
          </w:p>
        </w:tc>
      </w:tr>
      <w:tr w:rsidR="006641B6" w:rsidRPr="00B4426E" w14:paraId="310AA294"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AB31C50"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3</w:t>
            </w:r>
          </w:p>
        </w:tc>
        <w:tc>
          <w:tcPr>
            <w:tcW w:w="1340" w:type="dxa"/>
            <w:tcBorders>
              <w:top w:val="nil"/>
              <w:left w:val="nil"/>
              <w:bottom w:val="single" w:sz="4" w:space="0" w:color="auto"/>
              <w:right w:val="single" w:sz="4" w:space="0" w:color="auto"/>
            </w:tcBorders>
            <w:shd w:val="clear" w:color="auto" w:fill="auto"/>
            <w:noWrap/>
            <w:vAlign w:val="center"/>
            <w:hideMark/>
          </w:tcPr>
          <w:p w14:paraId="74521B7A"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0.2</w:t>
            </w:r>
          </w:p>
        </w:tc>
        <w:tc>
          <w:tcPr>
            <w:tcW w:w="1340" w:type="dxa"/>
            <w:tcBorders>
              <w:top w:val="nil"/>
              <w:left w:val="nil"/>
              <w:bottom w:val="single" w:sz="4" w:space="0" w:color="auto"/>
              <w:right w:val="single" w:sz="4" w:space="0" w:color="auto"/>
            </w:tcBorders>
            <w:shd w:val="clear" w:color="auto" w:fill="auto"/>
            <w:noWrap/>
            <w:vAlign w:val="center"/>
            <w:hideMark/>
          </w:tcPr>
          <w:p w14:paraId="0CF4FF2D"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3.7</w:t>
            </w:r>
          </w:p>
        </w:tc>
        <w:tc>
          <w:tcPr>
            <w:tcW w:w="1340" w:type="dxa"/>
            <w:tcBorders>
              <w:top w:val="nil"/>
              <w:left w:val="nil"/>
              <w:bottom w:val="single" w:sz="4" w:space="0" w:color="auto"/>
              <w:right w:val="single" w:sz="4" w:space="0" w:color="auto"/>
            </w:tcBorders>
            <w:shd w:val="clear" w:color="auto" w:fill="auto"/>
            <w:noWrap/>
            <w:vAlign w:val="center"/>
            <w:hideMark/>
          </w:tcPr>
          <w:p w14:paraId="2DEE0B89"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3.5</w:t>
            </w:r>
          </w:p>
        </w:tc>
        <w:tc>
          <w:tcPr>
            <w:tcW w:w="1340" w:type="dxa"/>
            <w:tcBorders>
              <w:top w:val="nil"/>
              <w:left w:val="nil"/>
              <w:bottom w:val="single" w:sz="4" w:space="0" w:color="auto"/>
              <w:right w:val="single" w:sz="4" w:space="0" w:color="auto"/>
            </w:tcBorders>
            <w:shd w:val="clear" w:color="auto" w:fill="auto"/>
            <w:noWrap/>
            <w:vAlign w:val="center"/>
            <w:hideMark/>
          </w:tcPr>
          <w:p w14:paraId="203D445D"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No</w:t>
            </w:r>
          </w:p>
        </w:tc>
        <w:tc>
          <w:tcPr>
            <w:tcW w:w="1340" w:type="dxa"/>
            <w:tcBorders>
              <w:top w:val="nil"/>
              <w:left w:val="nil"/>
              <w:bottom w:val="single" w:sz="4" w:space="0" w:color="auto"/>
              <w:right w:val="single" w:sz="4" w:space="0" w:color="auto"/>
            </w:tcBorders>
            <w:shd w:val="clear" w:color="auto" w:fill="auto"/>
            <w:noWrap/>
            <w:vAlign w:val="center"/>
            <w:hideMark/>
          </w:tcPr>
          <w:p w14:paraId="69746319"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4</w:t>
            </w:r>
          </w:p>
        </w:tc>
      </w:tr>
      <w:tr w:rsidR="006641B6" w:rsidRPr="00B4426E" w14:paraId="1B47BA2D"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00BE235"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4</w:t>
            </w:r>
          </w:p>
        </w:tc>
        <w:tc>
          <w:tcPr>
            <w:tcW w:w="1340" w:type="dxa"/>
            <w:tcBorders>
              <w:top w:val="nil"/>
              <w:left w:val="nil"/>
              <w:bottom w:val="single" w:sz="4" w:space="0" w:color="auto"/>
              <w:right w:val="single" w:sz="4" w:space="0" w:color="auto"/>
            </w:tcBorders>
            <w:shd w:val="clear" w:color="auto" w:fill="auto"/>
            <w:noWrap/>
            <w:vAlign w:val="center"/>
            <w:hideMark/>
          </w:tcPr>
          <w:p w14:paraId="62F1C7F2"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0.3</w:t>
            </w:r>
          </w:p>
        </w:tc>
        <w:tc>
          <w:tcPr>
            <w:tcW w:w="1340" w:type="dxa"/>
            <w:tcBorders>
              <w:top w:val="nil"/>
              <w:left w:val="nil"/>
              <w:bottom w:val="single" w:sz="4" w:space="0" w:color="auto"/>
              <w:right w:val="single" w:sz="4" w:space="0" w:color="auto"/>
            </w:tcBorders>
            <w:shd w:val="clear" w:color="auto" w:fill="auto"/>
            <w:noWrap/>
            <w:vAlign w:val="center"/>
            <w:hideMark/>
          </w:tcPr>
          <w:p w14:paraId="70906DB2"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3.8</w:t>
            </w:r>
          </w:p>
        </w:tc>
        <w:tc>
          <w:tcPr>
            <w:tcW w:w="1340" w:type="dxa"/>
            <w:tcBorders>
              <w:top w:val="nil"/>
              <w:left w:val="nil"/>
              <w:bottom w:val="single" w:sz="4" w:space="0" w:color="auto"/>
              <w:right w:val="single" w:sz="4" w:space="0" w:color="auto"/>
            </w:tcBorders>
            <w:shd w:val="clear" w:color="auto" w:fill="auto"/>
            <w:noWrap/>
            <w:vAlign w:val="center"/>
            <w:hideMark/>
          </w:tcPr>
          <w:p w14:paraId="6FCD4AE2"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4.2</w:t>
            </w:r>
          </w:p>
        </w:tc>
        <w:tc>
          <w:tcPr>
            <w:tcW w:w="1340" w:type="dxa"/>
            <w:tcBorders>
              <w:top w:val="nil"/>
              <w:left w:val="nil"/>
              <w:bottom w:val="single" w:sz="4" w:space="0" w:color="auto"/>
              <w:right w:val="single" w:sz="4" w:space="0" w:color="auto"/>
            </w:tcBorders>
            <w:shd w:val="clear" w:color="auto" w:fill="auto"/>
            <w:noWrap/>
            <w:vAlign w:val="center"/>
            <w:hideMark/>
          </w:tcPr>
          <w:p w14:paraId="31BEBECE"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Yes</w:t>
            </w:r>
          </w:p>
        </w:tc>
        <w:tc>
          <w:tcPr>
            <w:tcW w:w="1340" w:type="dxa"/>
            <w:tcBorders>
              <w:top w:val="nil"/>
              <w:left w:val="nil"/>
              <w:bottom w:val="single" w:sz="4" w:space="0" w:color="auto"/>
              <w:right w:val="single" w:sz="4" w:space="0" w:color="auto"/>
            </w:tcBorders>
            <w:shd w:val="clear" w:color="auto" w:fill="auto"/>
            <w:noWrap/>
            <w:vAlign w:val="center"/>
            <w:hideMark/>
          </w:tcPr>
          <w:p w14:paraId="7DAAC4AA"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3</w:t>
            </w:r>
          </w:p>
        </w:tc>
      </w:tr>
      <w:tr w:rsidR="006641B6" w:rsidRPr="00B4426E" w14:paraId="5AF14790" w14:textId="77777777" w:rsidTr="001E1A85">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9BE131C"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Year 5</w:t>
            </w:r>
          </w:p>
        </w:tc>
        <w:tc>
          <w:tcPr>
            <w:tcW w:w="1340" w:type="dxa"/>
            <w:tcBorders>
              <w:top w:val="nil"/>
              <w:left w:val="nil"/>
              <w:bottom w:val="single" w:sz="4" w:space="0" w:color="auto"/>
              <w:right w:val="single" w:sz="4" w:space="0" w:color="auto"/>
            </w:tcBorders>
            <w:shd w:val="clear" w:color="auto" w:fill="auto"/>
            <w:noWrap/>
            <w:vAlign w:val="center"/>
            <w:hideMark/>
          </w:tcPr>
          <w:p w14:paraId="7BEFECF0"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E61B63D"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4.3</w:t>
            </w:r>
          </w:p>
        </w:tc>
        <w:tc>
          <w:tcPr>
            <w:tcW w:w="1340" w:type="dxa"/>
            <w:tcBorders>
              <w:top w:val="nil"/>
              <w:left w:val="nil"/>
              <w:bottom w:val="single" w:sz="4" w:space="0" w:color="auto"/>
              <w:right w:val="single" w:sz="4" w:space="0" w:color="auto"/>
            </w:tcBorders>
            <w:shd w:val="clear" w:color="auto" w:fill="auto"/>
            <w:noWrap/>
            <w:vAlign w:val="center"/>
            <w:hideMark/>
          </w:tcPr>
          <w:p w14:paraId="45991029"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4.6</w:t>
            </w:r>
          </w:p>
        </w:tc>
        <w:tc>
          <w:tcPr>
            <w:tcW w:w="1340" w:type="dxa"/>
            <w:tcBorders>
              <w:top w:val="nil"/>
              <w:left w:val="nil"/>
              <w:bottom w:val="single" w:sz="4" w:space="0" w:color="auto"/>
              <w:right w:val="single" w:sz="4" w:space="0" w:color="auto"/>
            </w:tcBorders>
            <w:shd w:val="clear" w:color="auto" w:fill="auto"/>
            <w:noWrap/>
            <w:vAlign w:val="center"/>
            <w:hideMark/>
          </w:tcPr>
          <w:p w14:paraId="1C0DD21C"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Yes</w:t>
            </w:r>
          </w:p>
        </w:tc>
        <w:tc>
          <w:tcPr>
            <w:tcW w:w="1340" w:type="dxa"/>
            <w:tcBorders>
              <w:top w:val="nil"/>
              <w:left w:val="nil"/>
              <w:bottom w:val="single" w:sz="4" w:space="0" w:color="auto"/>
              <w:right w:val="single" w:sz="4" w:space="0" w:color="auto"/>
            </w:tcBorders>
            <w:shd w:val="clear" w:color="auto" w:fill="auto"/>
            <w:noWrap/>
            <w:vAlign w:val="center"/>
            <w:hideMark/>
          </w:tcPr>
          <w:p w14:paraId="59422E26" w14:textId="77777777" w:rsidR="006641B6" w:rsidRPr="00B4426E" w:rsidRDefault="006641B6" w:rsidP="001E1A85">
            <w:pPr>
              <w:spacing w:after="0" w:line="240" w:lineRule="auto"/>
              <w:jc w:val="center"/>
              <w:rPr>
                <w:rFonts w:ascii="Calibri" w:eastAsia="Times New Roman" w:hAnsi="Calibri" w:cs="Times New Roman"/>
                <w:color w:val="000000"/>
              </w:rPr>
            </w:pPr>
            <w:r w:rsidRPr="00B4426E">
              <w:rPr>
                <w:rFonts w:ascii="Calibri" w:eastAsia="Times New Roman" w:hAnsi="Calibri" w:cs="Times New Roman"/>
                <w:color w:val="000000"/>
              </w:rPr>
              <w:t>n/a</w:t>
            </w:r>
          </w:p>
        </w:tc>
      </w:tr>
    </w:tbl>
    <w:p w14:paraId="61CCB2C8" w14:textId="77777777" w:rsidR="00C7105E" w:rsidRDefault="00C7105E" w:rsidP="006641B6">
      <w:pPr>
        <w:spacing w:before="120"/>
        <w:rPr>
          <w:rFonts w:ascii="Calibri" w:hAnsi="Calibri"/>
        </w:rPr>
      </w:pPr>
      <w:r>
        <w:rPr>
          <w:rFonts w:ascii="Calibri" w:hAnsi="Calibri"/>
        </w:rPr>
        <w:t xml:space="preserve">Using the table as an example, DEED will reset each English learner’s growth target annually based on the student’s most-recent overall CPL on ACCESS for ELLs 2.0. The maximum number of expected years a student has to meet the exit criteria is </w:t>
      </w:r>
      <w:r w:rsidRPr="00D22240">
        <w:rPr>
          <w:rFonts w:ascii="Calibri" w:hAnsi="Calibri"/>
        </w:rPr>
        <w:t>based on the overall CPL in the initial year of identification</w:t>
      </w:r>
      <w:r>
        <w:rPr>
          <w:rFonts w:ascii="Calibri" w:hAnsi="Calibri"/>
        </w:rPr>
        <w:t>. The last column in the table above shows how the number of years remaining for the hypothetical student to meet the exit criteria decreases annually until the student is expected to meet the exit criteria.</w:t>
      </w:r>
    </w:p>
    <w:p w14:paraId="0CE1DB77" w14:textId="77777777" w:rsidR="00C7105E" w:rsidRDefault="00C7105E" w:rsidP="00FC008C">
      <w:pPr>
        <w:rPr>
          <w:rFonts w:ascii="Calibri" w:hAnsi="Calibri"/>
        </w:rPr>
      </w:pPr>
      <w:r>
        <w:rPr>
          <w:rFonts w:ascii="Calibri" w:hAnsi="Calibri"/>
        </w:rPr>
        <w:t xml:space="preserve">Alaska will continue to consider </w:t>
      </w:r>
      <w:r w:rsidRPr="00526DEC">
        <w:rPr>
          <w:rFonts w:ascii="Calibri" w:hAnsi="Calibri"/>
        </w:rPr>
        <w:t>EL student</w:t>
      </w:r>
      <w:r>
        <w:rPr>
          <w:rFonts w:ascii="Calibri" w:hAnsi="Calibri"/>
        </w:rPr>
        <w:t xml:space="preserve">s </w:t>
      </w:r>
      <w:r w:rsidRPr="00526DEC">
        <w:rPr>
          <w:rFonts w:ascii="Calibri" w:hAnsi="Calibri"/>
        </w:rPr>
        <w:t xml:space="preserve">to have made progress if the student earned at least the expected increase in the </w:t>
      </w:r>
      <w:r>
        <w:rPr>
          <w:rFonts w:ascii="Calibri" w:hAnsi="Calibri"/>
        </w:rPr>
        <w:t xml:space="preserve">overall </w:t>
      </w:r>
      <w:r w:rsidRPr="00526DEC">
        <w:rPr>
          <w:rFonts w:ascii="Calibri" w:hAnsi="Calibri"/>
        </w:rPr>
        <w:t>CPL from the previous year</w:t>
      </w:r>
      <w:r>
        <w:rPr>
          <w:rFonts w:ascii="Calibri" w:hAnsi="Calibri"/>
        </w:rPr>
        <w:t>. An EL student who meets the exit criteria for attaining proficiency will also be considered as having made progress.</w:t>
      </w:r>
    </w:p>
    <w:p w14:paraId="40B7F24D" w14:textId="77777777" w:rsidR="00C7105E" w:rsidRDefault="00C7105E" w:rsidP="000706DA">
      <w:pPr>
        <w:rPr>
          <w:rFonts w:ascii="Calibri" w:hAnsi="Calibri"/>
        </w:rPr>
      </w:pPr>
      <w:r>
        <w:rPr>
          <w:rFonts w:ascii="Calibri" w:hAnsi="Calibri"/>
        </w:rPr>
        <w:t>A student will be included in this calculation by meeting the following criteria:</w:t>
      </w:r>
    </w:p>
    <w:p w14:paraId="3F7A6318" w14:textId="77777777" w:rsidR="00C7105E" w:rsidRDefault="00C7105E" w:rsidP="006641B6">
      <w:pPr>
        <w:pStyle w:val="ListParagraph"/>
        <w:numPr>
          <w:ilvl w:val="0"/>
          <w:numId w:val="72"/>
        </w:numPr>
        <w:rPr>
          <w:rFonts w:ascii="Calibri" w:hAnsi="Calibri"/>
        </w:rPr>
      </w:pPr>
      <w:r w:rsidRPr="00B83D1C">
        <w:rPr>
          <w:rFonts w:ascii="Calibri" w:hAnsi="Calibri"/>
        </w:rPr>
        <w:t xml:space="preserve">The student received </w:t>
      </w:r>
      <w:r>
        <w:rPr>
          <w:rFonts w:ascii="Calibri" w:hAnsi="Calibri"/>
        </w:rPr>
        <w:t>a valid overall CPL in a previous year used to determine the number of years needed to achieve an overall CPL of 4.5; and</w:t>
      </w:r>
    </w:p>
    <w:p w14:paraId="55386D27" w14:textId="77777777" w:rsidR="00C7105E" w:rsidRPr="00401F7C" w:rsidRDefault="00C7105E" w:rsidP="006641B6">
      <w:pPr>
        <w:pStyle w:val="ListParagraph"/>
        <w:numPr>
          <w:ilvl w:val="0"/>
          <w:numId w:val="72"/>
        </w:numPr>
        <w:rPr>
          <w:rFonts w:ascii="Calibri" w:hAnsi="Calibri"/>
        </w:rPr>
      </w:pPr>
      <w:r w:rsidRPr="00720473">
        <w:rPr>
          <w:rFonts w:ascii="Calibri" w:hAnsi="Calibri"/>
        </w:rPr>
        <w:t>The student was enrolled for the full academic year in the current year.</w:t>
      </w:r>
    </w:p>
    <w:p w14:paraId="1EF2DBE8" w14:textId="77777777" w:rsidR="00C7105E" w:rsidRPr="00697AC2" w:rsidRDefault="00C7105E" w:rsidP="00A72A19">
      <w:pPr>
        <w:rPr>
          <w:rFonts w:ascii="Calibri" w:hAnsi="Calibri"/>
        </w:rPr>
      </w:pPr>
      <w:r>
        <w:rPr>
          <w:rFonts w:ascii="Calibri" w:hAnsi="Calibri"/>
        </w:rPr>
        <w:t>Alaska will calculate this indicator by dividing the number of FAY English learners who either achieved their growth target or met the exit criteria by the number of FAY English learners with growth targets.</w:t>
      </w:r>
      <w:r>
        <w:t xml:space="preserve"> Except for the 8</w:t>
      </w:r>
      <w:r w:rsidRPr="00DE38DC">
        <w:rPr>
          <w:rFonts w:ascii="Calibri" w:hAnsi="Calibri"/>
        </w:rPr>
        <w:t xml:space="preserve">0/20 rule described in </w:t>
      </w:r>
      <w:r>
        <w:rPr>
          <w:rFonts w:ascii="Calibri" w:hAnsi="Calibri"/>
        </w:rPr>
        <w:t>S</w:t>
      </w:r>
      <w:r w:rsidRPr="00DE38DC">
        <w:rPr>
          <w:rFonts w:ascii="Calibri" w:hAnsi="Calibri"/>
        </w:rPr>
        <w:t xml:space="preserve">ection </w:t>
      </w:r>
      <w:r>
        <w:rPr>
          <w:rFonts w:ascii="Calibri" w:hAnsi="Calibri"/>
        </w:rPr>
        <w:t>A.</w:t>
      </w:r>
      <w:r w:rsidRPr="00DE38DC">
        <w:rPr>
          <w:rFonts w:ascii="Calibri" w:hAnsi="Calibri"/>
        </w:rPr>
        <w:t>4.iv.a.</w:t>
      </w:r>
      <w:r>
        <w:rPr>
          <w:rFonts w:ascii="Calibri" w:hAnsi="Calibri"/>
        </w:rPr>
        <w:t xml:space="preserve">, </w:t>
      </w:r>
      <w:r w:rsidRPr="00D17C4C">
        <w:t>schools will earn between zero and 100 points equal to the percentage of students</w:t>
      </w:r>
      <w:r>
        <w:t xml:space="preserve"> meeting their growth targets on ACCESS for ELLs 2.0</w:t>
      </w:r>
      <w:r w:rsidRPr="00D17C4C">
        <w:t xml:space="preserve">. </w:t>
      </w:r>
      <w:r w:rsidRPr="00DE38DC">
        <w:rPr>
          <w:rFonts w:ascii="Calibri" w:hAnsi="Calibri"/>
        </w:rPr>
        <w:t xml:space="preserve">This indicator will </w:t>
      </w:r>
      <w:r>
        <w:rPr>
          <w:rFonts w:ascii="Calibri" w:hAnsi="Calibri"/>
        </w:rPr>
        <w:t>be calculated</w:t>
      </w:r>
      <w:r w:rsidRPr="00DE38DC">
        <w:rPr>
          <w:rFonts w:ascii="Calibri" w:hAnsi="Calibri"/>
        </w:rPr>
        <w:t xml:space="preserve"> for the K-6 and 7-12 portions of the accountability system</w:t>
      </w:r>
      <w:r>
        <w:rPr>
          <w:rFonts w:ascii="Calibri" w:hAnsi="Calibri"/>
        </w:rPr>
        <w:t>, including all English learners in grades 1-12</w:t>
      </w:r>
      <w:r w:rsidRPr="00DE38DC">
        <w:rPr>
          <w:rFonts w:ascii="Calibri" w:hAnsi="Calibri"/>
        </w:rPr>
        <w:t>.</w:t>
      </w:r>
    </w:p>
    <w:p w14:paraId="54CEA1D5" w14:textId="77777777" w:rsidR="00C7105E" w:rsidRPr="006641B6" w:rsidRDefault="00C7105E" w:rsidP="006641B6">
      <w:pPr>
        <w:pStyle w:val="Default"/>
        <w:numPr>
          <w:ilvl w:val="0"/>
          <w:numId w:val="93"/>
        </w:numPr>
        <w:ind w:left="1440"/>
        <w:rPr>
          <w:rFonts w:ascii="Calibri" w:hAnsi="Calibri"/>
          <w:sz w:val="22"/>
          <w:szCs w:val="22"/>
        </w:rPr>
      </w:pPr>
      <w:r w:rsidRPr="006641B6">
        <w:rPr>
          <w:rFonts w:ascii="Calibri" w:hAnsi="Calibri"/>
          <w:sz w:val="22"/>
          <w:szCs w:val="22"/>
        </w:rPr>
        <w:t xml:space="preserve">School Quality or Student Success Indicator(s). Describe each School Quality or Student Success Indicator, including, for each such indicator: </w:t>
      </w:r>
    </w:p>
    <w:p w14:paraId="162340F2" w14:textId="77777777" w:rsidR="00C7105E" w:rsidRDefault="00C7105E" w:rsidP="006641B6">
      <w:pPr>
        <w:pStyle w:val="Default"/>
        <w:numPr>
          <w:ilvl w:val="0"/>
          <w:numId w:val="37"/>
        </w:numPr>
        <w:rPr>
          <w:rFonts w:ascii="Calibri" w:hAnsi="Calibri"/>
          <w:sz w:val="22"/>
          <w:szCs w:val="22"/>
        </w:rPr>
      </w:pPr>
      <w:r>
        <w:rPr>
          <w:rFonts w:ascii="Calibri" w:hAnsi="Calibri"/>
          <w:sz w:val="22"/>
          <w:szCs w:val="22"/>
        </w:rPr>
        <w:t xml:space="preserve"> how it allows for </w:t>
      </w:r>
      <w:r w:rsidRPr="00697AC2">
        <w:rPr>
          <w:rFonts w:ascii="Calibri" w:hAnsi="Calibri"/>
          <w:sz w:val="22"/>
          <w:szCs w:val="22"/>
        </w:rPr>
        <w:t xml:space="preserve">meaningful differentiation in school performance; </w:t>
      </w:r>
    </w:p>
    <w:p w14:paraId="617F5236" w14:textId="77777777" w:rsidR="00C7105E" w:rsidRDefault="00C7105E" w:rsidP="006641B6">
      <w:pPr>
        <w:pStyle w:val="Default"/>
        <w:numPr>
          <w:ilvl w:val="0"/>
          <w:numId w:val="37"/>
        </w:numPr>
        <w:rPr>
          <w:rFonts w:ascii="Calibri" w:hAnsi="Calibri"/>
          <w:sz w:val="22"/>
          <w:szCs w:val="22"/>
        </w:rPr>
      </w:pPr>
      <w:r>
        <w:rPr>
          <w:rFonts w:ascii="Calibri" w:hAnsi="Calibri"/>
          <w:sz w:val="22"/>
          <w:szCs w:val="22"/>
        </w:rPr>
        <w:t xml:space="preserve"> that it is valid, reliable, </w:t>
      </w:r>
      <w:r w:rsidRPr="00697AC2">
        <w:rPr>
          <w:rFonts w:ascii="Calibri" w:hAnsi="Calibri"/>
          <w:sz w:val="22"/>
          <w:szCs w:val="22"/>
        </w:rPr>
        <w:t xml:space="preserve">comparable, and statewide (for the grade span(s) to which </w:t>
      </w:r>
      <w:r>
        <w:rPr>
          <w:rFonts w:ascii="Calibri" w:hAnsi="Calibri"/>
          <w:sz w:val="22"/>
          <w:szCs w:val="22"/>
        </w:rPr>
        <w:t xml:space="preserve">it applies); and </w:t>
      </w:r>
    </w:p>
    <w:p w14:paraId="6C81DAB3" w14:textId="77777777" w:rsidR="00C7105E" w:rsidRPr="00697AC2" w:rsidRDefault="00C7105E" w:rsidP="006641B6">
      <w:pPr>
        <w:pStyle w:val="Default"/>
        <w:numPr>
          <w:ilvl w:val="0"/>
          <w:numId w:val="37"/>
        </w:numPr>
        <w:spacing w:after="120"/>
        <w:rPr>
          <w:rFonts w:ascii="Calibri" w:hAnsi="Calibri"/>
          <w:sz w:val="22"/>
          <w:szCs w:val="22"/>
        </w:rPr>
      </w:pPr>
      <w:r>
        <w:rPr>
          <w:rFonts w:ascii="Calibri" w:hAnsi="Calibri"/>
          <w:sz w:val="22"/>
          <w:szCs w:val="22"/>
        </w:rPr>
        <w:t xml:space="preserve"> </w:t>
      </w:r>
      <w:proofErr w:type="gramStart"/>
      <w:r>
        <w:rPr>
          <w:rFonts w:ascii="Calibri" w:hAnsi="Calibri"/>
          <w:sz w:val="22"/>
          <w:szCs w:val="22"/>
        </w:rPr>
        <w:t>of</w:t>
      </w:r>
      <w:proofErr w:type="gramEnd"/>
      <w:r>
        <w:rPr>
          <w:rFonts w:ascii="Calibri" w:hAnsi="Calibri"/>
          <w:sz w:val="22"/>
          <w:szCs w:val="22"/>
        </w:rPr>
        <w:t xml:space="preserve"> how </w:t>
      </w:r>
      <w:r w:rsidRPr="00697AC2">
        <w:rPr>
          <w:rFonts w:ascii="Calibri" w:hAnsi="Calibri"/>
          <w:sz w:val="22"/>
          <w:szCs w:val="22"/>
        </w:rPr>
        <w:t>each such indicator annually measures performance for al</w:t>
      </w:r>
      <w:r>
        <w:rPr>
          <w:rFonts w:ascii="Calibri" w:hAnsi="Calibri"/>
          <w:sz w:val="22"/>
          <w:szCs w:val="22"/>
        </w:rPr>
        <w:t xml:space="preserve">l students and separately for </w:t>
      </w:r>
      <w:r w:rsidRPr="00697AC2">
        <w:rPr>
          <w:rFonts w:ascii="Calibri" w:hAnsi="Calibri"/>
          <w:sz w:val="22"/>
          <w:szCs w:val="22"/>
        </w:rPr>
        <w:t>each subgroup of students. For any School Quality or S</w:t>
      </w:r>
      <w:r>
        <w:rPr>
          <w:rFonts w:ascii="Calibri" w:hAnsi="Calibri"/>
          <w:sz w:val="22"/>
          <w:szCs w:val="22"/>
        </w:rPr>
        <w:t xml:space="preserve">tudent Success indicator that </w:t>
      </w:r>
      <w:r w:rsidRPr="00697AC2">
        <w:rPr>
          <w:rFonts w:ascii="Calibri" w:hAnsi="Calibri"/>
          <w:sz w:val="22"/>
          <w:szCs w:val="22"/>
        </w:rPr>
        <w:t>does not apply to all grade spans, the description mus</w:t>
      </w:r>
      <w:r>
        <w:rPr>
          <w:rFonts w:ascii="Calibri" w:hAnsi="Calibri"/>
          <w:sz w:val="22"/>
          <w:szCs w:val="22"/>
        </w:rPr>
        <w:t xml:space="preserve">t include the grade spans to </w:t>
      </w:r>
      <w:r w:rsidRPr="00697AC2">
        <w:rPr>
          <w:rFonts w:ascii="Calibri" w:hAnsi="Calibri"/>
          <w:sz w:val="22"/>
          <w:szCs w:val="22"/>
        </w:rPr>
        <w:t xml:space="preserve">which it does apply. </w:t>
      </w:r>
    </w:p>
    <w:p w14:paraId="15139939" w14:textId="77777777" w:rsidR="00C7105E" w:rsidRDefault="00C7105E" w:rsidP="00A6180D">
      <w:pPr>
        <w:rPr>
          <w:rFonts w:ascii="Calibri" w:hAnsi="Calibri"/>
        </w:rPr>
      </w:pPr>
      <w:r>
        <w:rPr>
          <w:rFonts w:ascii="Calibri" w:hAnsi="Calibri"/>
        </w:rPr>
        <w:t xml:space="preserve">When implementing the accountability system following the 2017-2018 school year, Alaska will implement two School Quality or Student Success (SQSS) indicators: chronic absenteeism and Grade 3 English language arts (ELA) proficiency. For each SQSS indicator, performance will be measured and </w:t>
      </w:r>
      <w:r>
        <w:rPr>
          <w:rFonts w:ascii="Calibri" w:hAnsi="Calibri"/>
        </w:rPr>
        <w:lastRenderedPageBreak/>
        <w:t xml:space="preserve">reported for all students and all subgroups. Schools will earn between zero and 100 points for the performance of the all students group. </w:t>
      </w:r>
    </w:p>
    <w:p w14:paraId="440FA6FB" w14:textId="77777777" w:rsidR="00C7105E" w:rsidRDefault="00C7105E" w:rsidP="00A6180D">
      <w:pPr>
        <w:rPr>
          <w:rFonts w:ascii="Calibri" w:hAnsi="Calibri"/>
        </w:rPr>
      </w:pPr>
      <w:r>
        <w:rPr>
          <w:rFonts w:ascii="Calibri" w:hAnsi="Calibri"/>
        </w:rPr>
        <w:t xml:space="preserve">The proposed indicators are designed to encourage schools to improve the quality of instruction, the quality of the school climate, and student engagement. Alaska will continue to consult with stakeholders including district staff, educators, parents, tribal members, and others to determine additional possibilities for indicators that can measure non-academic qualities of a successful school. </w:t>
      </w:r>
    </w:p>
    <w:p w14:paraId="2785B883" w14:textId="77777777" w:rsidR="00C7105E" w:rsidRDefault="00C7105E" w:rsidP="00A6180D">
      <w:pPr>
        <w:rPr>
          <w:rFonts w:ascii="Calibri" w:hAnsi="Calibri"/>
        </w:rPr>
      </w:pPr>
      <w:r>
        <w:rPr>
          <w:rFonts w:ascii="Calibri" w:hAnsi="Calibri"/>
        </w:rPr>
        <w:t>This will include further discussions about the three additional SQSS indicators Alaska included in its initial state plan submission: participation on district-administered interim assessments, grade 9 students on track for graduation, and eligibility for the Alaska Performance Scholarship.</w:t>
      </w:r>
    </w:p>
    <w:p w14:paraId="4DDC98D8" w14:textId="77777777" w:rsidR="00C7105E" w:rsidRPr="00161A2E" w:rsidRDefault="00C7105E" w:rsidP="00A6180D">
      <w:pPr>
        <w:rPr>
          <w:rFonts w:ascii="Calibri" w:hAnsi="Calibri"/>
        </w:rPr>
      </w:pPr>
      <w:r>
        <w:rPr>
          <w:rFonts w:ascii="Calibri" w:hAnsi="Calibri"/>
        </w:rPr>
        <w:t xml:space="preserve">DEED will work with stakeholders to develop a timeline for implementing any new indicators, including </w:t>
      </w:r>
      <w:r w:rsidRPr="00161A2E">
        <w:rPr>
          <w:rFonts w:ascii="Calibri" w:hAnsi="Calibri"/>
        </w:rPr>
        <w:t xml:space="preserve">the possibility of piloting indicators by collecting data for a period of time before incorporating new indicators into the accountability system. </w:t>
      </w:r>
    </w:p>
    <w:p w14:paraId="17A313FA" w14:textId="77777777" w:rsidR="00C7105E" w:rsidRPr="00161A2E" w:rsidRDefault="00C7105E" w:rsidP="00A6180D">
      <w:pPr>
        <w:rPr>
          <w:rFonts w:ascii="Calibri" w:hAnsi="Calibri"/>
        </w:rPr>
      </w:pPr>
      <w:r w:rsidRPr="00161A2E">
        <w:rPr>
          <w:rFonts w:ascii="Calibri" w:hAnsi="Calibri"/>
        </w:rPr>
        <w:t>Indicators to be used beginning in the 2017-2018 school year are:</w:t>
      </w:r>
    </w:p>
    <w:p w14:paraId="118CCC0A" w14:textId="77777777" w:rsidR="00C7105E" w:rsidRPr="001930E5" w:rsidRDefault="00C7105E" w:rsidP="00F83983">
      <w:pPr>
        <w:rPr>
          <w:rFonts w:ascii="Calibri" w:hAnsi="Calibri"/>
        </w:rPr>
      </w:pPr>
      <w:r w:rsidRPr="001930E5">
        <w:rPr>
          <w:rFonts w:ascii="Calibri" w:hAnsi="Calibri"/>
          <w:b/>
        </w:rPr>
        <w:t>Chronic absenteeism</w:t>
      </w:r>
    </w:p>
    <w:p w14:paraId="617C62BD" w14:textId="77777777" w:rsidR="00C7105E" w:rsidRPr="001930E5" w:rsidRDefault="00C7105E" w:rsidP="00961701">
      <w:pPr>
        <w:rPr>
          <w:rFonts w:ascii="Calibri" w:hAnsi="Calibri"/>
        </w:rPr>
      </w:pPr>
      <w:r w:rsidRPr="001930E5">
        <w:rPr>
          <w:rFonts w:ascii="Calibri" w:hAnsi="Calibri"/>
        </w:rPr>
        <w:t>A student is chronically absent when they missed at least 10 percent of the days in which they were enrolled in the school. The denominator for the chronic absenteeism indicator will include all students who were enrolled at the same school for at least half of the school term. The numerator will be the number of students enrolled at the same school for at least half of the school term</w:t>
      </w:r>
      <w:r w:rsidRPr="001930E5" w:rsidDel="00777BE5">
        <w:rPr>
          <w:rFonts w:ascii="Calibri" w:hAnsi="Calibri"/>
        </w:rPr>
        <w:t xml:space="preserve"> </w:t>
      </w:r>
      <w:r w:rsidRPr="001930E5">
        <w:rPr>
          <w:rFonts w:ascii="Calibri" w:hAnsi="Calibri"/>
        </w:rPr>
        <w:t xml:space="preserve">who were </w:t>
      </w:r>
      <w:r w:rsidRPr="001930E5">
        <w:rPr>
          <w:rFonts w:ascii="Calibri" w:hAnsi="Calibri"/>
          <w:u w:val="single"/>
        </w:rPr>
        <w:t>not</w:t>
      </w:r>
      <w:r w:rsidRPr="001930E5">
        <w:rPr>
          <w:rFonts w:ascii="Calibri" w:hAnsi="Calibri"/>
        </w:rPr>
        <w:t xml:space="preserve"> chronically absent. Schools will earn points equal to this percentage, resulting in a value between zero and 100 points for the all students group.</w:t>
      </w:r>
    </w:p>
    <w:p w14:paraId="14CAB537" w14:textId="77777777" w:rsidR="00C7105E" w:rsidRPr="001930E5" w:rsidRDefault="00C7105E" w:rsidP="001E1A85">
      <w:r w:rsidRPr="001930E5">
        <w:t xml:space="preserve">During the 2016-2017 school year, 24.3 percent of students statewide enrolled at the same school for at least half of the school term were chronically absent. Using data from the 2014-2015 school year, 37.6 percent of students who were not chronically absent met the standards on the AMP ELA content assessment. This compares to 22.8 percent of chronically absent students who met the standards. The figures for the math content assessment reflect a similar gap: 34.1 percent versus 18.8 percent. </w:t>
      </w:r>
    </w:p>
    <w:p w14:paraId="14C4731C" w14:textId="77777777" w:rsidR="00C7105E" w:rsidRDefault="00C7105E" w:rsidP="00722803">
      <w:r w:rsidRPr="001930E5">
        <w:rPr>
          <w:rFonts w:ascii="Calibri" w:hAnsi="Calibri"/>
        </w:rPr>
        <w:t xml:space="preserve">Resources and strategies are available to support schools in reducing rates of chronic absenteeism and thus increasing learning. </w:t>
      </w:r>
      <w:r w:rsidRPr="001930E5">
        <w:t>DEED also recognizes that Alaska has unique circumstances that potentially exacerbate the rates of chronic</w:t>
      </w:r>
      <w:r w:rsidRPr="00722803">
        <w:t xml:space="preserve"> absenteeism that would not typically affect most schools in the other states. For example, access to medical or dental care, participation in student activities, and cultural events may require an absence of several days from school</w:t>
      </w:r>
      <w:r>
        <w:t xml:space="preserve"> for students residing in rural communities</w:t>
      </w:r>
      <w:r w:rsidRPr="00722803">
        <w:t>. DEED will advocate for districts to provide instruction for students during times away from school. DEED will also review the data and impact of this indicator in the accountability system for possible revisions or replacement in the future.</w:t>
      </w:r>
    </w:p>
    <w:p w14:paraId="15527AA7" w14:textId="77777777" w:rsidR="00C7105E" w:rsidRDefault="00C7105E" w:rsidP="00722803">
      <w:r w:rsidRPr="00777BE5">
        <w:t>This indicator will be calculated for the K-6 and 7-12 portions of the accountability system.</w:t>
      </w:r>
    </w:p>
    <w:p w14:paraId="3C2D96F9" w14:textId="77777777" w:rsidR="00C7105E" w:rsidRPr="001E1A85" w:rsidRDefault="00C7105E" w:rsidP="001E1A85">
      <w:pPr>
        <w:rPr>
          <w:b/>
        </w:rPr>
      </w:pPr>
      <w:r w:rsidRPr="001E1A85">
        <w:rPr>
          <w:b/>
        </w:rPr>
        <w:t>Grade 3 English language arts proficiency</w:t>
      </w:r>
    </w:p>
    <w:p w14:paraId="3C059A0F" w14:textId="77777777" w:rsidR="00C7105E" w:rsidRDefault="00C7105E" w:rsidP="001E1A85">
      <w:r>
        <w:t>Students who can read on grade level by 3</w:t>
      </w:r>
      <w:r w:rsidRPr="00155D29">
        <w:rPr>
          <w:vertAlign w:val="superscript"/>
        </w:rPr>
        <w:t>rd</w:t>
      </w:r>
      <w:r>
        <w:t xml:space="preserve"> grade are much more likely to be successful and less likely to drop out of school. To provide an incentive to help meet this goal, </w:t>
      </w:r>
      <w:r w:rsidRPr="00777BE5">
        <w:t xml:space="preserve">Alaska will measure the percentage of </w:t>
      </w:r>
      <w:r>
        <w:t xml:space="preserve">grade 3 </w:t>
      </w:r>
      <w:r w:rsidRPr="00777BE5">
        <w:t xml:space="preserve">students scoring at the proficient or advanced achievement levels on the statewide assessments </w:t>
      </w:r>
      <w:r>
        <w:t>in English language arts (ELA).</w:t>
      </w:r>
    </w:p>
    <w:p w14:paraId="57F73552" w14:textId="77777777" w:rsidR="00C7105E" w:rsidRPr="00777BE5" w:rsidRDefault="00C7105E" w:rsidP="001E1A85">
      <w:r w:rsidRPr="00777BE5">
        <w:lastRenderedPageBreak/>
        <w:t xml:space="preserve">While the indicator will be measured and reported for all students and all subgroups, for the purpose of inclusion in the index, schools will earn </w:t>
      </w:r>
      <w:r>
        <w:t xml:space="preserve">between zero and 100 </w:t>
      </w:r>
      <w:r w:rsidRPr="00777BE5">
        <w:t>points for the all students group based o</w:t>
      </w:r>
      <w:r>
        <w:t>n identified performance levels</w:t>
      </w:r>
      <w:r w:rsidRPr="00777BE5">
        <w:t xml:space="preserve">. </w:t>
      </w:r>
      <w:r>
        <w:t xml:space="preserve">Except for the </w:t>
      </w:r>
      <w:r w:rsidRPr="00777BE5">
        <w:t xml:space="preserve">80/20 rule described in </w:t>
      </w:r>
      <w:r>
        <w:t>S</w:t>
      </w:r>
      <w:r w:rsidRPr="00777BE5">
        <w:t xml:space="preserve">ection </w:t>
      </w:r>
      <w:r>
        <w:t>A.</w:t>
      </w:r>
      <w:r w:rsidRPr="00777BE5">
        <w:t>4.iv.a</w:t>
      </w:r>
      <w:r>
        <w:t xml:space="preserve">., schools will earn points equal </w:t>
      </w:r>
      <w:r w:rsidRPr="00A37D0C">
        <w:t>to the percentage of students scoring at the proficient or advanced achievement levels on the statewide assessments</w:t>
      </w:r>
      <w:r>
        <w:t xml:space="preserve"> in English language arts (ELA).</w:t>
      </w:r>
      <w:r w:rsidRPr="00777BE5">
        <w:t>This indicator will be calculated for the K-6 portion of the accountability system.</w:t>
      </w:r>
    </w:p>
    <w:p w14:paraId="4BC970A3" w14:textId="77777777" w:rsidR="00C7105E" w:rsidRDefault="00C7105E" w:rsidP="001E1A85">
      <w:r w:rsidRPr="00777BE5">
        <w:t xml:space="preserve">If a school meets the participation requirement, the denominator will be all FAY students </w:t>
      </w:r>
      <w:r>
        <w:t xml:space="preserve">in grade 3 </w:t>
      </w:r>
      <w:r w:rsidRPr="00777BE5">
        <w:t>with a valid score. If a school does not meet the participation rate requirement, the denominator will be 95 percent of all FAY students</w:t>
      </w:r>
      <w:r>
        <w:t xml:space="preserve"> in grade 3</w:t>
      </w:r>
      <w:r w:rsidRPr="00777BE5">
        <w:t xml:space="preserve">. </w:t>
      </w:r>
      <w:r w:rsidRPr="00A37D0C">
        <w:t>ESSA does not provide flexibility for a participation n-size when calculating the Academic Achievement indicator.</w:t>
      </w:r>
    </w:p>
    <w:p w14:paraId="47339A52" w14:textId="29147D1C" w:rsidR="00C7105E" w:rsidRPr="00697AC2" w:rsidRDefault="00C7105E" w:rsidP="001E1A85">
      <w:pPr>
        <w:pStyle w:val="Default"/>
        <w:numPr>
          <w:ilvl w:val="2"/>
          <w:numId w:val="87"/>
        </w:numPr>
        <w:ind w:left="1080"/>
        <w:rPr>
          <w:rFonts w:ascii="Calibri" w:hAnsi="Calibri"/>
          <w:sz w:val="22"/>
          <w:szCs w:val="22"/>
        </w:rPr>
      </w:pPr>
      <w:r w:rsidRPr="00F72EC2">
        <w:rPr>
          <w:rFonts w:ascii="Calibri" w:hAnsi="Calibri"/>
          <w:b/>
          <w:sz w:val="22"/>
          <w:szCs w:val="22"/>
        </w:rPr>
        <w:t>Annual Meaningful Differentiation</w:t>
      </w:r>
      <w:r w:rsidRPr="00697AC2">
        <w:rPr>
          <w:rFonts w:ascii="Calibri" w:hAnsi="Calibri"/>
          <w:sz w:val="22"/>
          <w:szCs w:val="22"/>
        </w:rPr>
        <w:t xml:space="preserve"> </w:t>
      </w:r>
      <w:r w:rsidRPr="00697AC2">
        <w:rPr>
          <w:rFonts w:ascii="Calibri" w:hAnsi="Calibri"/>
          <w:i/>
          <w:iCs/>
          <w:sz w:val="22"/>
          <w:szCs w:val="22"/>
        </w:rPr>
        <w:t xml:space="preserve">(ESEA section 1111(c)(4)(C)) </w:t>
      </w:r>
    </w:p>
    <w:p w14:paraId="21B41841" w14:textId="77777777" w:rsidR="00C7105E" w:rsidRDefault="00C7105E" w:rsidP="001E1A85">
      <w:pPr>
        <w:pStyle w:val="Default"/>
        <w:numPr>
          <w:ilvl w:val="0"/>
          <w:numId w:val="38"/>
        </w:numPr>
        <w:ind w:left="1440"/>
        <w:rPr>
          <w:rFonts w:ascii="Calibri" w:hAnsi="Calibri"/>
          <w:sz w:val="22"/>
          <w:szCs w:val="22"/>
        </w:rPr>
      </w:pPr>
      <w:r w:rsidRPr="00697AC2">
        <w:rPr>
          <w:rFonts w:ascii="Calibri" w:hAnsi="Calibri"/>
          <w:sz w:val="22"/>
          <w:szCs w:val="22"/>
        </w:rPr>
        <w:t xml:space="preserve"> Describe the State’s system of annual meaningful d</w:t>
      </w:r>
      <w:r>
        <w:rPr>
          <w:rFonts w:ascii="Calibri" w:hAnsi="Calibri"/>
          <w:sz w:val="22"/>
          <w:szCs w:val="22"/>
        </w:rPr>
        <w:t xml:space="preserve">ifferentiation of all public </w:t>
      </w:r>
      <w:r w:rsidRPr="00697AC2">
        <w:rPr>
          <w:rFonts w:ascii="Calibri" w:hAnsi="Calibri"/>
          <w:sz w:val="22"/>
          <w:szCs w:val="22"/>
        </w:rPr>
        <w:t>schools in the State, consistent with the requirements of</w:t>
      </w:r>
      <w:r>
        <w:rPr>
          <w:rFonts w:ascii="Calibri" w:hAnsi="Calibri"/>
          <w:sz w:val="22"/>
          <w:szCs w:val="22"/>
        </w:rPr>
        <w:t xml:space="preserve"> section 1111(c)(4)(C) of the </w:t>
      </w:r>
      <w:r>
        <w:rPr>
          <w:rFonts w:ascii="Calibri" w:hAnsi="Calibri"/>
          <w:sz w:val="22"/>
          <w:szCs w:val="22"/>
        </w:rPr>
        <w:tab/>
      </w:r>
      <w:r w:rsidRPr="00697AC2">
        <w:rPr>
          <w:rFonts w:ascii="Calibri" w:hAnsi="Calibri"/>
          <w:sz w:val="22"/>
          <w:szCs w:val="22"/>
        </w:rPr>
        <w:t xml:space="preserve">ESEA, including a description of </w:t>
      </w:r>
    </w:p>
    <w:p w14:paraId="15132EA3" w14:textId="77777777" w:rsidR="00C7105E" w:rsidRDefault="00C7105E" w:rsidP="006641B6">
      <w:pPr>
        <w:pStyle w:val="Default"/>
        <w:numPr>
          <w:ilvl w:val="0"/>
          <w:numId w:val="39"/>
        </w:numPr>
        <w:rPr>
          <w:rFonts w:ascii="Calibri" w:hAnsi="Calibri"/>
          <w:sz w:val="22"/>
          <w:szCs w:val="22"/>
        </w:rPr>
      </w:pPr>
      <w:r w:rsidRPr="00697AC2">
        <w:rPr>
          <w:rFonts w:ascii="Calibri" w:hAnsi="Calibri"/>
          <w:sz w:val="22"/>
          <w:szCs w:val="22"/>
        </w:rPr>
        <w:t>how the system is b</w:t>
      </w:r>
      <w:r>
        <w:rPr>
          <w:rFonts w:ascii="Calibri" w:hAnsi="Calibri"/>
          <w:sz w:val="22"/>
          <w:szCs w:val="22"/>
        </w:rPr>
        <w:t xml:space="preserve">ased on all indicators in the State’s accountability system, </w:t>
      </w:r>
    </w:p>
    <w:p w14:paraId="1BF0DF76" w14:textId="77777777" w:rsidR="00C7105E" w:rsidRPr="00697AC2" w:rsidRDefault="00C7105E" w:rsidP="001E1A85">
      <w:pPr>
        <w:pStyle w:val="Default"/>
        <w:numPr>
          <w:ilvl w:val="0"/>
          <w:numId w:val="39"/>
        </w:numPr>
        <w:spacing w:after="120"/>
        <w:rPr>
          <w:rFonts w:ascii="Calibri" w:hAnsi="Calibri"/>
          <w:sz w:val="22"/>
          <w:szCs w:val="22"/>
        </w:rPr>
      </w:pPr>
      <w:proofErr w:type="gramStart"/>
      <w:r w:rsidRPr="00697AC2">
        <w:rPr>
          <w:rFonts w:ascii="Calibri" w:hAnsi="Calibri"/>
          <w:sz w:val="22"/>
          <w:szCs w:val="22"/>
        </w:rPr>
        <w:t>for</w:t>
      </w:r>
      <w:proofErr w:type="gramEnd"/>
      <w:r w:rsidRPr="00697AC2">
        <w:rPr>
          <w:rFonts w:ascii="Calibri" w:hAnsi="Calibri"/>
          <w:sz w:val="22"/>
          <w:szCs w:val="22"/>
        </w:rPr>
        <w:t xml:space="preserve"> all students and for each subgroup of s</w:t>
      </w:r>
      <w:r>
        <w:rPr>
          <w:rFonts w:ascii="Calibri" w:hAnsi="Calibri"/>
          <w:sz w:val="22"/>
          <w:szCs w:val="22"/>
        </w:rPr>
        <w:t xml:space="preserve">tudents. </w:t>
      </w:r>
      <w:r w:rsidRPr="00697AC2">
        <w:rPr>
          <w:rFonts w:ascii="Calibri" w:hAnsi="Calibri"/>
          <w:sz w:val="22"/>
          <w:szCs w:val="22"/>
        </w:rPr>
        <w:t>Note that each state must comply with the requireme</w:t>
      </w:r>
      <w:r>
        <w:rPr>
          <w:rFonts w:ascii="Calibri" w:hAnsi="Calibri"/>
          <w:sz w:val="22"/>
          <w:szCs w:val="22"/>
        </w:rPr>
        <w:t>nts in 1111(c</w:t>
      </w:r>
      <w:proofErr w:type="gramStart"/>
      <w:r>
        <w:rPr>
          <w:rFonts w:ascii="Calibri" w:hAnsi="Calibri"/>
          <w:sz w:val="22"/>
          <w:szCs w:val="22"/>
        </w:rPr>
        <w:t>)(</w:t>
      </w:r>
      <w:proofErr w:type="gramEnd"/>
      <w:r>
        <w:rPr>
          <w:rFonts w:ascii="Calibri" w:hAnsi="Calibri"/>
          <w:sz w:val="22"/>
          <w:szCs w:val="22"/>
        </w:rPr>
        <w:t xml:space="preserve">5) of the ESEA </w:t>
      </w:r>
      <w:r w:rsidRPr="00697AC2">
        <w:rPr>
          <w:rFonts w:ascii="Calibri" w:hAnsi="Calibri"/>
          <w:sz w:val="22"/>
          <w:szCs w:val="22"/>
        </w:rPr>
        <w:t xml:space="preserve">with respect to accountability for charter schools. </w:t>
      </w:r>
    </w:p>
    <w:p w14:paraId="1DAB300E" w14:textId="77777777" w:rsidR="00C7105E" w:rsidRPr="00B83D1C" w:rsidRDefault="00C7105E" w:rsidP="001E1A85">
      <w:r>
        <w:t xml:space="preserve">Alaska will use an index system based on 100 points for annual meaningful differentiation of all public schools. A similar type of system was used in Alaska’s previous accountability system. The accountability system to meaningfully differentiate all public schools each year is described in this plan. </w:t>
      </w:r>
      <w:r w:rsidRPr="00B83D1C">
        <w:t>DEED will establish business rules based on data analysis, and state regulations to implement the accountability system will be created through a public comment process and adoption by the State Board of Education and Early Development.</w:t>
      </w:r>
    </w:p>
    <w:p w14:paraId="24775161" w14:textId="77777777" w:rsidR="00C7105E" w:rsidRPr="00B83D1C" w:rsidRDefault="00C7105E" w:rsidP="001E1A85">
      <w:r w:rsidRPr="00B83D1C">
        <w:t xml:space="preserve">All accountability indicators will be included in the index. Each school will receive an overall score </w:t>
      </w:r>
      <w:r>
        <w:t>of between</w:t>
      </w:r>
      <w:r w:rsidRPr="00B83D1C">
        <w:t xml:space="preserve"> </w:t>
      </w:r>
      <w:r>
        <w:t>zero</w:t>
      </w:r>
      <w:r w:rsidRPr="00B83D1C">
        <w:t xml:space="preserve"> </w:t>
      </w:r>
      <w:r>
        <w:t>and</w:t>
      </w:r>
      <w:r w:rsidRPr="00B83D1C">
        <w:t xml:space="preserve"> 100 based on performance on the individual indicators</w:t>
      </w:r>
      <w:r>
        <w:t>, which will also be on a scale of between zero and 100 points</w:t>
      </w:r>
      <w:r w:rsidRPr="00B83D1C">
        <w:t xml:space="preserve">. </w:t>
      </w:r>
      <w:r>
        <w:t xml:space="preserve">DEED will </w:t>
      </w:r>
      <w:proofErr w:type="spellStart"/>
      <w:r>
        <w:t>weight</w:t>
      </w:r>
      <w:proofErr w:type="spellEnd"/>
      <w:r>
        <w:t xml:space="preserve"> the indicators based on the weights and the K-6/7-12 enrollment percentages described in Section A.4.v.b. </w:t>
      </w:r>
      <w:r w:rsidRPr="00B83D1C">
        <w:t>Performance on all indicators will be reported on a dashboard</w:t>
      </w:r>
      <w:r>
        <w:t>-</w:t>
      </w:r>
      <w:r w:rsidRPr="00B83D1C">
        <w:t>type of display, along with the school’s overall score and designation.</w:t>
      </w:r>
    </w:p>
    <w:p w14:paraId="1079BF39" w14:textId="77777777" w:rsidR="00C7105E" w:rsidRPr="00F953A9" w:rsidRDefault="00C7105E" w:rsidP="001E1A85"/>
    <w:p w14:paraId="29A99E0A" w14:textId="77777777" w:rsidR="00C7105E" w:rsidRPr="00697AC2" w:rsidRDefault="00C7105E" w:rsidP="001E1A85">
      <w:r w:rsidRPr="00F953A9">
        <w:t xml:space="preserve">DEED will publish index scores and designations for the 2018-2019 school year </w:t>
      </w:r>
      <w:r>
        <w:t xml:space="preserve">in the fall of </w:t>
      </w:r>
      <w:r w:rsidRPr="00F953A9">
        <w:t xml:space="preserve">2018. </w:t>
      </w:r>
      <w:r>
        <w:t>A</w:t>
      </w:r>
      <w:r w:rsidRPr="00140E74">
        <w:t xml:space="preserve">s of February 28, 2018, DEED has confirmed a high degree of differentiation among schools </w:t>
      </w:r>
      <w:r>
        <w:t xml:space="preserve">based on the indicators and weights described in this plan subject to available data. </w:t>
      </w:r>
    </w:p>
    <w:p w14:paraId="53A2C875" w14:textId="77777777" w:rsidR="00F13418" w:rsidRDefault="00F13418">
      <w:r>
        <w:br w:type="page"/>
      </w:r>
    </w:p>
    <w:p w14:paraId="12B8C745" w14:textId="19752D43" w:rsidR="00C7105E" w:rsidRPr="00697AC2" w:rsidRDefault="00C7105E" w:rsidP="001E1A85">
      <w:pPr>
        <w:pStyle w:val="Default"/>
        <w:numPr>
          <w:ilvl w:val="0"/>
          <w:numId w:val="38"/>
        </w:numPr>
        <w:spacing w:after="120"/>
        <w:ind w:left="1440"/>
        <w:rPr>
          <w:rFonts w:ascii="Calibri" w:hAnsi="Calibri"/>
          <w:sz w:val="22"/>
          <w:szCs w:val="22"/>
        </w:rPr>
      </w:pPr>
      <w:r w:rsidRPr="00697AC2">
        <w:rPr>
          <w:rFonts w:ascii="Calibri" w:hAnsi="Calibri"/>
          <w:sz w:val="22"/>
          <w:szCs w:val="22"/>
        </w:rPr>
        <w:lastRenderedPageBreak/>
        <w:t>Describe the weighting of each indicator in the State’s system of annual me</w:t>
      </w:r>
      <w:r w:rsidR="001E1A85">
        <w:rPr>
          <w:rFonts w:ascii="Calibri" w:hAnsi="Calibri"/>
          <w:sz w:val="22"/>
          <w:szCs w:val="22"/>
        </w:rPr>
        <w:t xml:space="preserve">aningful </w:t>
      </w:r>
      <w:r w:rsidRPr="00697AC2">
        <w:rPr>
          <w:rFonts w:ascii="Calibri" w:hAnsi="Calibri"/>
          <w:sz w:val="22"/>
          <w:szCs w:val="22"/>
        </w:rPr>
        <w:t>differentiation, including how the Academic Achievement, Other Academic, Graduation Rate, and Progress in ELP indicators each receive substantial weight individually and, in the aggregate, much greater weig</w:t>
      </w:r>
      <w:r>
        <w:rPr>
          <w:rFonts w:ascii="Calibri" w:hAnsi="Calibri"/>
          <w:sz w:val="22"/>
          <w:szCs w:val="22"/>
        </w:rPr>
        <w:t xml:space="preserve">ht than the School Quality or </w:t>
      </w:r>
      <w:r w:rsidRPr="00697AC2">
        <w:rPr>
          <w:rFonts w:ascii="Calibri" w:hAnsi="Calibri"/>
          <w:sz w:val="22"/>
          <w:szCs w:val="22"/>
        </w:rPr>
        <w:t xml:space="preserve">Student Success indicator(s), in the aggregate. </w:t>
      </w:r>
    </w:p>
    <w:p w14:paraId="73CDB4BF" w14:textId="77777777" w:rsidR="00C7105E" w:rsidRDefault="00C7105E" w:rsidP="001E1A85">
      <w:r>
        <w:t>Alaska proposes the following weights for the indicators in the accountability system for schools with students in grades K-6 and schools with students in grades 7-12.</w:t>
      </w:r>
    </w:p>
    <w:p w14:paraId="390C9A06" w14:textId="77777777" w:rsidR="00C7105E" w:rsidRDefault="00C7105E" w:rsidP="00C009FB">
      <w:pPr>
        <w:jc w:val="center"/>
        <w:rPr>
          <w:b/>
        </w:rPr>
      </w:pPr>
      <w:r w:rsidRPr="009105B6">
        <w:rPr>
          <w:b/>
        </w:rPr>
        <w:t>Accountability Indicator Weights</w:t>
      </w:r>
      <w:r>
        <w:rPr>
          <w:b/>
        </w:rPr>
        <w:t xml:space="preserve">: </w:t>
      </w:r>
      <w:r w:rsidRPr="009105B6">
        <w:rPr>
          <w:b/>
        </w:rPr>
        <w:t>Schools that Do Not Serve Grade 12</w:t>
      </w:r>
    </w:p>
    <w:tbl>
      <w:tblPr>
        <w:tblW w:w="8702" w:type="dxa"/>
        <w:jc w:val="center"/>
        <w:tblLook w:val="04A0" w:firstRow="1" w:lastRow="0" w:firstColumn="1" w:lastColumn="0" w:noHBand="0" w:noVBand="1"/>
      </w:tblPr>
      <w:tblGrid>
        <w:gridCol w:w="3320"/>
        <w:gridCol w:w="1660"/>
        <w:gridCol w:w="1840"/>
        <w:gridCol w:w="1882"/>
      </w:tblGrid>
      <w:tr w:rsidR="00C7105E" w:rsidRPr="00D77D4D" w14:paraId="5AE9829A" w14:textId="77777777" w:rsidTr="00C009FB">
        <w:trPr>
          <w:trHeight w:val="300"/>
          <w:jc w:val="center"/>
        </w:trPr>
        <w:tc>
          <w:tcPr>
            <w:tcW w:w="4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DBC6F"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Indicator</w:t>
            </w:r>
          </w:p>
        </w:tc>
        <w:tc>
          <w:tcPr>
            <w:tcW w:w="3722" w:type="dxa"/>
            <w:gridSpan w:val="2"/>
            <w:tcBorders>
              <w:top w:val="single" w:sz="4" w:space="0" w:color="auto"/>
              <w:left w:val="nil"/>
              <w:bottom w:val="single" w:sz="4" w:space="0" w:color="auto"/>
              <w:right w:val="single" w:sz="4" w:space="0" w:color="auto"/>
            </w:tcBorders>
            <w:shd w:val="clear" w:color="auto" w:fill="auto"/>
            <w:vAlign w:val="center"/>
            <w:hideMark/>
          </w:tcPr>
          <w:p w14:paraId="79B2C982"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Span</w:t>
            </w:r>
          </w:p>
        </w:tc>
      </w:tr>
      <w:tr w:rsidR="00C7105E" w:rsidRPr="00D77D4D" w14:paraId="209AD035" w14:textId="77777777" w:rsidTr="00C009FB">
        <w:trPr>
          <w:trHeight w:val="300"/>
          <w:jc w:val="center"/>
        </w:trPr>
        <w:tc>
          <w:tcPr>
            <w:tcW w:w="4980" w:type="dxa"/>
            <w:gridSpan w:val="2"/>
            <w:vMerge/>
            <w:tcBorders>
              <w:top w:val="single" w:sz="4" w:space="0" w:color="auto"/>
              <w:left w:val="single" w:sz="4" w:space="0" w:color="auto"/>
              <w:bottom w:val="single" w:sz="4" w:space="0" w:color="auto"/>
              <w:right w:val="single" w:sz="4" w:space="0" w:color="auto"/>
            </w:tcBorders>
            <w:vAlign w:val="center"/>
            <w:hideMark/>
          </w:tcPr>
          <w:p w14:paraId="4B4429E2" w14:textId="77777777" w:rsidR="00C7105E" w:rsidRPr="00D77D4D" w:rsidRDefault="00C7105E" w:rsidP="00D77D4D">
            <w:pPr>
              <w:spacing w:after="0" w:line="240" w:lineRule="auto"/>
              <w:rPr>
                <w:rFonts w:ascii="Calibri" w:eastAsia="Times New Roman" w:hAnsi="Calibri" w:cs="Times New Roman"/>
                <w:color w:val="000000"/>
              </w:rPr>
            </w:pPr>
          </w:p>
        </w:tc>
        <w:tc>
          <w:tcPr>
            <w:tcW w:w="1840" w:type="dxa"/>
            <w:tcBorders>
              <w:top w:val="nil"/>
              <w:left w:val="nil"/>
              <w:bottom w:val="single" w:sz="4" w:space="0" w:color="auto"/>
              <w:right w:val="single" w:sz="4" w:space="0" w:color="auto"/>
            </w:tcBorders>
            <w:shd w:val="clear" w:color="auto" w:fill="auto"/>
            <w:vAlign w:val="center"/>
            <w:hideMark/>
          </w:tcPr>
          <w:p w14:paraId="11079813"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K-6</w:t>
            </w:r>
          </w:p>
        </w:tc>
        <w:tc>
          <w:tcPr>
            <w:tcW w:w="1882" w:type="dxa"/>
            <w:tcBorders>
              <w:top w:val="nil"/>
              <w:left w:val="nil"/>
              <w:bottom w:val="single" w:sz="4" w:space="0" w:color="auto"/>
              <w:right w:val="single" w:sz="4" w:space="0" w:color="auto"/>
            </w:tcBorders>
            <w:shd w:val="clear" w:color="auto" w:fill="auto"/>
            <w:vAlign w:val="center"/>
            <w:hideMark/>
          </w:tcPr>
          <w:p w14:paraId="6B61C3A0"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 and above</w:t>
            </w:r>
          </w:p>
        </w:tc>
      </w:tr>
      <w:tr w:rsidR="00C7105E" w:rsidRPr="00D77D4D" w14:paraId="781057F4" w14:textId="77777777" w:rsidTr="00C009FB">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6E323720"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Achievement</w:t>
            </w:r>
          </w:p>
        </w:tc>
        <w:tc>
          <w:tcPr>
            <w:tcW w:w="1660" w:type="dxa"/>
            <w:tcBorders>
              <w:top w:val="nil"/>
              <w:left w:val="nil"/>
              <w:bottom w:val="single" w:sz="4" w:space="0" w:color="auto"/>
              <w:right w:val="single" w:sz="4" w:space="0" w:color="auto"/>
            </w:tcBorders>
            <w:shd w:val="clear" w:color="auto" w:fill="auto"/>
            <w:vAlign w:val="center"/>
            <w:hideMark/>
          </w:tcPr>
          <w:p w14:paraId="1779B778"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33803F5A"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5A0B217B"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50D3050B"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260B178A" w14:textId="77777777" w:rsidR="00C7105E" w:rsidRPr="00D77D4D" w:rsidRDefault="00C7105E" w:rsidP="00D77D4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1292D231"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2596591A"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13E4EFDF"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4A35884F" w14:textId="77777777" w:rsidTr="00C009FB">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4A755854"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Growth</w:t>
            </w:r>
          </w:p>
        </w:tc>
        <w:tc>
          <w:tcPr>
            <w:tcW w:w="1660" w:type="dxa"/>
            <w:tcBorders>
              <w:top w:val="nil"/>
              <w:left w:val="nil"/>
              <w:bottom w:val="single" w:sz="4" w:space="0" w:color="auto"/>
              <w:right w:val="single" w:sz="4" w:space="0" w:color="auto"/>
            </w:tcBorders>
            <w:shd w:val="clear" w:color="auto" w:fill="auto"/>
            <w:vAlign w:val="center"/>
            <w:hideMark/>
          </w:tcPr>
          <w:p w14:paraId="12CA667C"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79CA5FF6"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c>
          <w:tcPr>
            <w:tcW w:w="1882" w:type="dxa"/>
            <w:tcBorders>
              <w:top w:val="nil"/>
              <w:left w:val="nil"/>
              <w:bottom w:val="single" w:sz="4" w:space="0" w:color="auto"/>
              <w:right w:val="single" w:sz="4" w:space="0" w:color="auto"/>
            </w:tcBorders>
            <w:shd w:val="clear" w:color="auto" w:fill="auto"/>
            <w:vAlign w:val="center"/>
            <w:hideMark/>
          </w:tcPr>
          <w:p w14:paraId="63D0540E"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r>
      <w:tr w:rsidR="00C7105E" w:rsidRPr="00D77D4D" w14:paraId="76663501"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02BB15C5" w14:textId="77777777" w:rsidR="00C7105E" w:rsidRPr="00D77D4D" w:rsidRDefault="00C7105E" w:rsidP="00D77D4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5E3EDC97"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2CA16546"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c>
          <w:tcPr>
            <w:tcW w:w="1882" w:type="dxa"/>
            <w:tcBorders>
              <w:top w:val="nil"/>
              <w:left w:val="nil"/>
              <w:bottom w:val="single" w:sz="4" w:space="0" w:color="auto"/>
              <w:right w:val="single" w:sz="4" w:space="0" w:color="auto"/>
            </w:tcBorders>
            <w:shd w:val="clear" w:color="auto" w:fill="auto"/>
            <w:vAlign w:val="center"/>
            <w:hideMark/>
          </w:tcPr>
          <w:p w14:paraId="46B705CC"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r>
      <w:tr w:rsidR="00C7105E" w:rsidRPr="00D77D4D" w14:paraId="349721E3" w14:textId="77777777" w:rsidTr="00C009FB">
        <w:trPr>
          <w:trHeight w:val="3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4A0C55A8"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Graduation Rate</w:t>
            </w:r>
          </w:p>
        </w:tc>
        <w:tc>
          <w:tcPr>
            <w:tcW w:w="1660" w:type="dxa"/>
            <w:tcBorders>
              <w:top w:val="nil"/>
              <w:left w:val="nil"/>
              <w:bottom w:val="single" w:sz="4" w:space="0" w:color="auto"/>
              <w:right w:val="single" w:sz="4" w:space="0" w:color="auto"/>
            </w:tcBorders>
            <w:shd w:val="clear" w:color="auto" w:fill="auto"/>
            <w:vAlign w:val="center"/>
            <w:hideMark/>
          </w:tcPr>
          <w:p w14:paraId="563EF641"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Four-Year</w:t>
            </w:r>
          </w:p>
        </w:tc>
        <w:tc>
          <w:tcPr>
            <w:tcW w:w="1840" w:type="dxa"/>
            <w:tcBorders>
              <w:top w:val="nil"/>
              <w:left w:val="nil"/>
              <w:bottom w:val="single" w:sz="4" w:space="0" w:color="auto"/>
              <w:right w:val="single" w:sz="4" w:space="0" w:color="auto"/>
            </w:tcBorders>
            <w:shd w:val="clear" w:color="auto" w:fill="auto"/>
            <w:vAlign w:val="center"/>
            <w:hideMark/>
          </w:tcPr>
          <w:p w14:paraId="487A0EDA"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882" w:type="dxa"/>
            <w:tcBorders>
              <w:top w:val="nil"/>
              <w:left w:val="nil"/>
              <w:bottom w:val="single" w:sz="4" w:space="0" w:color="auto"/>
              <w:right w:val="single" w:sz="4" w:space="0" w:color="auto"/>
            </w:tcBorders>
            <w:shd w:val="clear" w:color="auto" w:fill="auto"/>
            <w:vAlign w:val="center"/>
            <w:hideMark/>
          </w:tcPr>
          <w:p w14:paraId="0D98A8F9"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r>
      <w:tr w:rsidR="00C7105E" w:rsidRPr="00D77D4D" w14:paraId="2274F8BA"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24FBDB9B" w14:textId="77777777" w:rsidR="00C7105E" w:rsidRPr="00D77D4D" w:rsidRDefault="00C7105E" w:rsidP="00D77D4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6D24907D"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Five-Year</w:t>
            </w:r>
          </w:p>
        </w:tc>
        <w:tc>
          <w:tcPr>
            <w:tcW w:w="1840" w:type="dxa"/>
            <w:tcBorders>
              <w:top w:val="nil"/>
              <w:left w:val="nil"/>
              <w:bottom w:val="single" w:sz="4" w:space="0" w:color="auto"/>
              <w:right w:val="single" w:sz="4" w:space="0" w:color="auto"/>
            </w:tcBorders>
            <w:shd w:val="clear" w:color="auto" w:fill="auto"/>
            <w:vAlign w:val="center"/>
            <w:hideMark/>
          </w:tcPr>
          <w:p w14:paraId="2EC7FAAE"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882" w:type="dxa"/>
            <w:tcBorders>
              <w:top w:val="nil"/>
              <w:left w:val="nil"/>
              <w:bottom w:val="single" w:sz="4" w:space="0" w:color="auto"/>
              <w:right w:val="single" w:sz="4" w:space="0" w:color="auto"/>
            </w:tcBorders>
            <w:shd w:val="clear" w:color="auto" w:fill="auto"/>
            <w:vAlign w:val="center"/>
            <w:hideMark/>
          </w:tcPr>
          <w:p w14:paraId="48E8B502"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5%</w:t>
            </w:r>
          </w:p>
        </w:tc>
      </w:tr>
      <w:tr w:rsidR="00C7105E" w:rsidRPr="00D77D4D" w14:paraId="0B771A66"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6B9BB"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Learner Progress</w:t>
            </w:r>
          </w:p>
        </w:tc>
        <w:tc>
          <w:tcPr>
            <w:tcW w:w="1840" w:type="dxa"/>
            <w:tcBorders>
              <w:top w:val="nil"/>
              <w:left w:val="nil"/>
              <w:bottom w:val="single" w:sz="4" w:space="0" w:color="auto"/>
              <w:right w:val="single" w:sz="4" w:space="0" w:color="auto"/>
            </w:tcBorders>
            <w:shd w:val="clear" w:color="auto" w:fill="auto"/>
            <w:vAlign w:val="center"/>
            <w:hideMark/>
          </w:tcPr>
          <w:p w14:paraId="71C023AE"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7325C803"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3334BB85"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C5F8B"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Chronic Absenteeism</w:t>
            </w:r>
          </w:p>
        </w:tc>
        <w:tc>
          <w:tcPr>
            <w:tcW w:w="1840" w:type="dxa"/>
            <w:tcBorders>
              <w:top w:val="nil"/>
              <w:left w:val="nil"/>
              <w:bottom w:val="single" w:sz="4" w:space="0" w:color="auto"/>
              <w:right w:val="single" w:sz="4" w:space="0" w:color="auto"/>
            </w:tcBorders>
            <w:shd w:val="clear" w:color="auto" w:fill="auto"/>
            <w:vAlign w:val="center"/>
            <w:hideMark/>
          </w:tcPr>
          <w:p w14:paraId="6E2A42F1"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c>
          <w:tcPr>
            <w:tcW w:w="1882" w:type="dxa"/>
            <w:tcBorders>
              <w:top w:val="nil"/>
              <w:left w:val="nil"/>
              <w:bottom w:val="single" w:sz="4" w:space="0" w:color="auto"/>
              <w:right w:val="single" w:sz="4" w:space="0" w:color="auto"/>
            </w:tcBorders>
            <w:shd w:val="clear" w:color="auto" w:fill="auto"/>
            <w:vAlign w:val="center"/>
            <w:hideMark/>
          </w:tcPr>
          <w:p w14:paraId="665703AC"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732F7B1F"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AB596"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3 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7AE4EDEA"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5%</w:t>
            </w:r>
          </w:p>
        </w:tc>
        <w:tc>
          <w:tcPr>
            <w:tcW w:w="1882" w:type="dxa"/>
            <w:tcBorders>
              <w:top w:val="nil"/>
              <w:left w:val="nil"/>
              <w:bottom w:val="single" w:sz="4" w:space="0" w:color="auto"/>
              <w:right w:val="single" w:sz="4" w:space="0" w:color="auto"/>
            </w:tcBorders>
            <w:shd w:val="clear" w:color="auto" w:fill="auto"/>
            <w:vAlign w:val="center"/>
            <w:hideMark/>
          </w:tcPr>
          <w:p w14:paraId="3B883394"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169D0FF5"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3439A"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Total</w:t>
            </w:r>
          </w:p>
        </w:tc>
        <w:tc>
          <w:tcPr>
            <w:tcW w:w="1840" w:type="dxa"/>
            <w:tcBorders>
              <w:top w:val="nil"/>
              <w:left w:val="nil"/>
              <w:bottom w:val="single" w:sz="4" w:space="0" w:color="auto"/>
              <w:right w:val="single" w:sz="4" w:space="0" w:color="auto"/>
            </w:tcBorders>
            <w:shd w:val="clear" w:color="auto" w:fill="auto"/>
            <w:vAlign w:val="center"/>
            <w:hideMark/>
          </w:tcPr>
          <w:p w14:paraId="4F956826"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p>
        </w:tc>
        <w:tc>
          <w:tcPr>
            <w:tcW w:w="1882" w:type="dxa"/>
            <w:tcBorders>
              <w:top w:val="nil"/>
              <w:left w:val="nil"/>
              <w:bottom w:val="single" w:sz="4" w:space="0" w:color="auto"/>
              <w:right w:val="single" w:sz="4" w:space="0" w:color="auto"/>
            </w:tcBorders>
            <w:shd w:val="clear" w:color="auto" w:fill="auto"/>
            <w:vAlign w:val="center"/>
            <w:hideMark/>
          </w:tcPr>
          <w:p w14:paraId="31C967BA"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p>
        </w:tc>
      </w:tr>
    </w:tbl>
    <w:p w14:paraId="3957BC2A" w14:textId="77777777" w:rsidR="00C7105E" w:rsidRPr="009105B6" w:rsidRDefault="00C7105E" w:rsidP="001E1A85">
      <w:pPr>
        <w:spacing w:before="240"/>
        <w:jc w:val="center"/>
      </w:pPr>
      <w:r w:rsidRPr="009105B6">
        <w:rPr>
          <w:b/>
        </w:rPr>
        <w:t>Accountability Indicator Weights</w:t>
      </w:r>
      <w:r>
        <w:rPr>
          <w:b/>
        </w:rPr>
        <w:t xml:space="preserve">: </w:t>
      </w:r>
      <w:r w:rsidRPr="009105B6">
        <w:rPr>
          <w:b/>
        </w:rPr>
        <w:t>Schools that Serve Grade 12</w:t>
      </w:r>
    </w:p>
    <w:tbl>
      <w:tblPr>
        <w:tblW w:w="8702" w:type="dxa"/>
        <w:jc w:val="center"/>
        <w:tblLook w:val="04A0" w:firstRow="1" w:lastRow="0" w:firstColumn="1" w:lastColumn="0" w:noHBand="0" w:noVBand="1"/>
      </w:tblPr>
      <w:tblGrid>
        <w:gridCol w:w="3320"/>
        <w:gridCol w:w="1660"/>
        <w:gridCol w:w="1840"/>
        <w:gridCol w:w="1882"/>
      </w:tblGrid>
      <w:tr w:rsidR="00C7105E" w:rsidRPr="00D77D4D" w14:paraId="66E46CE7" w14:textId="77777777" w:rsidTr="00C009FB">
        <w:trPr>
          <w:trHeight w:val="300"/>
          <w:jc w:val="center"/>
        </w:trPr>
        <w:tc>
          <w:tcPr>
            <w:tcW w:w="4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A724B"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Indicator</w:t>
            </w:r>
          </w:p>
        </w:tc>
        <w:tc>
          <w:tcPr>
            <w:tcW w:w="3722" w:type="dxa"/>
            <w:gridSpan w:val="2"/>
            <w:tcBorders>
              <w:top w:val="single" w:sz="4" w:space="0" w:color="auto"/>
              <w:left w:val="nil"/>
              <w:bottom w:val="single" w:sz="4" w:space="0" w:color="auto"/>
              <w:right w:val="single" w:sz="4" w:space="0" w:color="auto"/>
            </w:tcBorders>
            <w:shd w:val="clear" w:color="auto" w:fill="auto"/>
            <w:vAlign w:val="center"/>
            <w:hideMark/>
          </w:tcPr>
          <w:p w14:paraId="585F9BAF"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Span</w:t>
            </w:r>
          </w:p>
        </w:tc>
      </w:tr>
      <w:tr w:rsidR="00C7105E" w:rsidRPr="00D77D4D" w14:paraId="169714E6" w14:textId="77777777" w:rsidTr="00C009FB">
        <w:trPr>
          <w:trHeight w:val="300"/>
          <w:jc w:val="center"/>
        </w:trPr>
        <w:tc>
          <w:tcPr>
            <w:tcW w:w="4980" w:type="dxa"/>
            <w:gridSpan w:val="2"/>
            <w:vMerge/>
            <w:tcBorders>
              <w:top w:val="single" w:sz="4" w:space="0" w:color="auto"/>
              <w:left w:val="single" w:sz="4" w:space="0" w:color="auto"/>
              <w:bottom w:val="single" w:sz="4" w:space="0" w:color="auto"/>
              <w:right w:val="single" w:sz="4" w:space="0" w:color="auto"/>
            </w:tcBorders>
            <w:vAlign w:val="center"/>
            <w:hideMark/>
          </w:tcPr>
          <w:p w14:paraId="6432BC12" w14:textId="77777777" w:rsidR="00C7105E" w:rsidRPr="00D77D4D" w:rsidRDefault="00C7105E" w:rsidP="004E0D6D">
            <w:pPr>
              <w:spacing w:after="0" w:line="240" w:lineRule="auto"/>
              <w:rPr>
                <w:rFonts w:ascii="Calibri" w:eastAsia="Times New Roman" w:hAnsi="Calibri" w:cs="Times New Roman"/>
                <w:color w:val="000000"/>
              </w:rPr>
            </w:pPr>
          </w:p>
        </w:tc>
        <w:tc>
          <w:tcPr>
            <w:tcW w:w="1840" w:type="dxa"/>
            <w:tcBorders>
              <w:top w:val="nil"/>
              <w:left w:val="nil"/>
              <w:bottom w:val="single" w:sz="4" w:space="0" w:color="auto"/>
              <w:right w:val="single" w:sz="4" w:space="0" w:color="auto"/>
            </w:tcBorders>
            <w:shd w:val="clear" w:color="auto" w:fill="auto"/>
            <w:vAlign w:val="center"/>
            <w:hideMark/>
          </w:tcPr>
          <w:p w14:paraId="0965FCCC"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K-6</w:t>
            </w:r>
          </w:p>
        </w:tc>
        <w:tc>
          <w:tcPr>
            <w:tcW w:w="1882" w:type="dxa"/>
            <w:tcBorders>
              <w:top w:val="nil"/>
              <w:left w:val="nil"/>
              <w:bottom w:val="single" w:sz="4" w:space="0" w:color="auto"/>
              <w:right w:val="single" w:sz="4" w:space="0" w:color="auto"/>
            </w:tcBorders>
            <w:shd w:val="clear" w:color="auto" w:fill="auto"/>
            <w:vAlign w:val="center"/>
            <w:hideMark/>
          </w:tcPr>
          <w:p w14:paraId="289FD40F" w14:textId="77777777" w:rsidR="00C7105E" w:rsidRPr="00D77D4D" w:rsidRDefault="00C7105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7-12</w:t>
            </w:r>
          </w:p>
        </w:tc>
      </w:tr>
      <w:tr w:rsidR="00C7105E" w:rsidRPr="00D77D4D" w14:paraId="465324FE" w14:textId="77777777" w:rsidTr="00C009FB">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3D09800A"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Achievement</w:t>
            </w:r>
          </w:p>
        </w:tc>
        <w:tc>
          <w:tcPr>
            <w:tcW w:w="1660" w:type="dxa"/>
            <w:tcBorders>
              <w:top w:val="nil"/>
              <w:left w:val="nil"/>
              <w:bottom w:val="single" w:sz="4" w:space="0" w:color="auto"/>
              <w:right w:val="single" w:sz="4" w:space="0" w:color="auto"/>
            </w:tcBorders>
            <w:shd w:val="clear" w:color="auto" w:fill="auto"/>
            <w:vAlign w:val="center"/>
            <w:hideMark/>
          </w:tcPr>
          <w:p w14:paraId="3081DA39"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009D8757"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365DC4C9"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r>
      <w:tr w:rsidR="00C7105E" w:rsidRPr="00D77D4D" w14:paraId="194BCB3A"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7EBEFEA2" w14:textId="77777777" w:rsidR="00C7105E" w:rsidRPr="00D77D4D" w:rsidRDefault="00C7105E" w:rsidP="004E0D6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003B8F4E"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07F55FF5"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6B6EEB75"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r>
      <w:tr w:rsidR="00C7105E" w:rsidRPr="00D77D4D" w14:paraId="3C1CD15E" w14:textId="77777777" w:rsidTr="00C009FB">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0BC031A3"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Growth</w:t>
            </w:r>
          </w:p>
        </w:tc>
        <w:tc>
          <w:tcPr>
            <w:tcW w:w="1660" w:type="dxa"/>
            <w:tcBorders>
              <w:top w:val="nil"/>
              <w:left w:val="nil"/>
              <w:bottom w:val="single" w:sz="4" w:space="0" w:color="auto"/>
              <w:right w:val="single" w:sz="4" w:space="0" w:color="auto"/>
            </w:tcBorders>
            <w:shd w:val="clear" w:color="auto" w:fill="auto"/>
            <w:vAlign w:val="center"/>
            <w:hideMark/>
          </w:tcPr>
          <w:p w14:paraId="673CEB37"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2718953E"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c>
          <w:tcPr>
            <w:tcW w:w="1882" w:type="dxa"/>
            <w:tcBorders>
              <w:top w:val="nil"/>
              <w:left w:val="nil"/>
              <w:bottom w:val="single" w:sz="4" w:space="0" w:color="auto"/>
              <w:right w:val="single" w:sz="4" w:space="0" w:color="auto"/>
            </w:tcBorders>
            <w:shd w:val="clear" w:color="auto" w:fill="auto"/>
            <w:vAlign w:val="center"/>
            <w:hideMark/>
          </w:tcPr>
          <w:p w14:paraId="75223374"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3819D0C8"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3898D01A" w14:textId="77777777" w:rsidR="00C7105E" w:rsidRPr="00D77D4D" w:rsidRDefault="00C7105E" w:rsidP="004E0D6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59743DD3"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5B74B353"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20%</w:t>
            </w:r>
          </w:p>
        </w:tc>
        <w:tc>
          <w:tcPr>
            <w:tcW w:w="1882" w:type="dxa"/>
            <w:tcBorders>
              <w:top w:val="nil"/>
              <w:left w:val="nil"/>
              <w:bottom w:val="single" w:sz="4" w:space="0" w:color="auto"/>
              <w:right w:val="single" w:sz="4" w:space="0" w:color="auto"/>
            </w:tcBorders>
            <w:shd w:val="clear" w:color="auto" w:fill="auto"/>
            <w:vAlign w:val="center"/>
            <w:hideMark/>
          </w:tcPr>
          <w:p w14:paraId="271051AB"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0DEA1272" w14:textId="77777777" w:rsidTr="00C009FB">
        <w:trPr>
          <w:trHeight w:val="3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516B6352"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Graduation Rate</w:t>
            </w:r>
          </w:p>
        </w:tc>
        <w:tc>
          <w:tcPr>
            <w:tcW w:w="1660" w:type="dxa"/>
            <w:tcBorders>
              <w:top w:val="nil"/>
              <w:left w:val="nil"/>
              <w:bottom w:val="single" w:sz="4" w:space="0" w:color="auto"/>
              <w:right w:val="single" w:sz="4" w:space="0" w:color="auto"/>
            </w:tcBorders>
            <w:shd w:val="clear" w:color="auto" w:fill="auto"/>
            <w:vAlign w:val="center"/>
            <w:hideMark/>
          </w:tcPr>
          <w:p w14:paraId="1FCE1263"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Four-Year</w:t>
            </w:r>
          </w:p>
        </w:tc>
        <w:tc>
          <w:tcPr>
            <w:tcW w:w="1840" w:type="dxa"/>
            <w:tcBorders>
              <w:top w:val="nil"/>
              <w:left w:val="nil"/>
              <w:bottom w:val="single" w:sz="4" w:space="0" w:color="auto"/>
              <w:right w:val="single" w:sz="4" w:space="0" w:color="auto"/>
            </w:tcBorders>
            <w:shd w:val="clear" w:color="auto" w:fill="auto"/>
            <w:vAlign w:val="center"/>
            <w:hideMark/>
          </w:tcPr>
          <w:p w14:paraId="3FA43263"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882" w:type="dxa"/>
            <w:tcBorders>
              <w:top w:val="nil"/>
              <w:left w:val="nil"/>
              <w:bottom w:val="single" w:sz="4" w:space="0" w:color="auto"/>
              <w:right w:val="single" w:sz="4" w:space="0" w:color="auto"/>
            </w:tcBorders>
            <w:shd w:val="clear" w:color="auto" w:fill="auto"/>
            <w:vAlign w:val="center"/>
            <w:hideMark/>
          </w:tcPr>
          <w:p w14:paraId="192DD250"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r>
      <w:tr w:rsidR="00C7105E" w:rsidRPr="00D77D4D" w14:paraId="1E2F9E12" w14:textId="77777777" w:rsidTr="00C009FB">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67D2488C" w14:textId="77777777" w:rsidR="00C7105E" w:rsidRPr="00D77D4D" w:rsidRDefault="00C7105E" w:rsidP="004E0D6D">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0936185A"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Five-Year</w:t>
            </w:r>
          </w:p>
        </w:tc>
        <w:tc>
          <w:tcPr>
            <w:tcW w:w="1840" w:type="dxa"/>
            <w:tcBorders>
              <w:top w:val="nil"/>
              <w:left w:val="nil"/>
              <w:bottom w:val="single" w:sz="4" w:space="0" w:color="auto"/>
              <w:right w:val="single" w:sz="4" w:space="0" w:color="auto"/>
            </w:tcBorders>
            <w:shd w:val="clear" w:color="auto" w:fill="auto"/>
            <w:vAlign w:val="center"/>
            <w:hideMark/>
          </w:tcPr>
          <w:p w14:paraId="7B50E0FA"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882" w:type="dxa"/>
            <w:tcBorders>
              <w:top w:val="nil"/>
              <w:left w:val="nil"/>
              <w:bottom w:val="single" w:sz="4" w:space="0" w:color="auto"/>
              <w:right w:val="single" w:sz="4" w:space="0" w:color="auto"/>
            </w:tcBorders>
            <w:shd w:val="clear" w:color="auto" w:fill="auto"/>
            <w:vAlign w:val="center"/>
            <w:hideMark/>
          </w:tcPr>
          <w:p w14:paraId="68D3BE12"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5%</w:t>
            </w:r>
          </w:p>
        </w:tc>
      </w:tr>
      <w:tr w:rsidR="00C7105E" w:rsidRPr="00D77D4D" w14:paraId="07B31475"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FD0BD"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Learner Progress</w:t>
            </w:r>
          </w:p>
        </w:tc>
        <w:tc>
          <w:tcPr>
            <w:tcW w:w="1840" w:type="dxa"/>
            <w:tcBorders>
              <w:top w:val="nil"/>
              <w:left w:val="nil"/>
              <w:bottom w:val="single" w:sz="4" w:space="0" w:color="auto"/>
              <w:right w:val="single" w:sz="4" w:space="0" w:color="auto"/>
            </w:tcBorders>
            <w:shd w:val="clear" w:color="auto" w:fill="auto"/>
            <w:vAlign w:val="center"/>
            <w:hideMark/>
          </w:tcPr>
          <w:p w14:paraId="76879EF9"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15%</w:t>
            </w:r>
          </w:p>
        </w:tc>
        <w:tc>
          <w:tcPr>
            <w:tcW w:w="1882" w:type="dxa"/>
            <w:tcBorders>
              <w:top w:val="nil"/>
              <w:left w:val="nil"/>
              <w:bottom w:val="single" w:sz="4" w:space="0" w:color="auto"/>
              <w:right w:val="single" w:sz="4" w:space="0" w:color="auto"/>
            </w:tcBorders>
            <w:shd w:val="clear" w:color="auto" w:fill="auto"/>
            <w:vAlign w:val="center"/>
            <w:hideMark/>
          </w:tcPr>
          <w:p w14:paraId="4BEABF20"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08CF93C4"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47A35"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Chronic Absenteeism</w:t>
            </w:r>
          </w:p>
        </w:tc>
        <w:tc>
          <w:tcPr>
            <w:tcW w:w="1840" w:type="dxa"/>
            <w:tcBorders>
              <w:top w:val="nil"/>
              <w:left w:val="nil"/>
              <w:bottom w:val="single" w:sz="4" w:space="0" w:color="auto"/>
              <w:right w:val="single" w:sz="4" w:space="0" w:color="auto"/>
            </w:tcBorders>
            <w:shd w:val="clear" w:color="auto" w:fill="auto"/>
            <w:vAlign w:val="center"/>
            <w:hideMark/>
          </w:tcPr>
          <w:p w14:paraId="1E713BD1"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c>
          <w:tcPr>
            <w:tcW w:w="1882" w:type="dxa"/>
            <w:tcBorders>
              <w:top w:val="nil"/>
              <w:left w:val="nil"/>
              <w:bottom w:val="single" w:sz="4" w:space="0" w:color="auto"/>
              <w:right w:val="single" w:sz="4" w:space="0" w:color="auto"/>
            </w:tcBorders>
            <w:shd w:val="clear" w:color="auto" w:fill="auto"/>
            <w:vAlign w:val="center"/>
            <w:hideMark/>
          </w:tcPr>
          <w:p w14:paraId="79107E70"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w:t>
            </w:r>
          </w:p>
        </w:tc>
      </w:tr>
      <w:tr w:rsidR="00C7105E" w:rsidRPr="00D77D4D" w14:paraId="319C61D3"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6A19"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3 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0D46F4C9"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5%</w:t>
            </w:r>
          </w:p>
        </w:tc>
        <w:tc>
          <w:tcPr>
            <w:tcW w:w="1882" w:type="dxa"/>
            <w:tcBorders>
              <w:top w:val="nil"/>
              <w:left w:val="nil"/>
              <w:bottom w:val="single" w:sz="4" w:space="0" w:color="auto"/>
              <w:right w:val="single" w:sz="4" w:space="0" w:color="auto"/>
            </w:tcBorders>
            <w:shd w:val="clear" w:color="auto" w:fill="auto"/>
            <w:vAlign w:val="center"/>
            <w:hideMark/>
          </w:tcPr>
          <w:p w14:paraId="7629833B" w14:textId="77777777" w:rsidR="00C7105E" w:rsidRPr="00D77D4D" w:rsidRDefault="00C7105E" w:rsidP="004E0D6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11FE5AAD" w14:textId="77777777" w:rsidTr="00C009FB">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1AB00"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Total</w:t>
            </w:r>
          </w:p>
        </w:tc>
        <w:tc>
          <w:tcPr>
            <w:tcW w:w="1840" w:type="dxa"/>
            <w:tcBorders>
              <w:top w:val="nil"/>
              <w:left w:val="nil"/>
              <w:bottom w:val="single" w:sz="4" w:space="0" w:color="auto"/>
              <w:right w:val="single" w:sz="4" w:space="0" w:color="auto"/>
            </w:tcBorders>
            <w:shd w:val="clear" w:color="auto" w:fill="auto"/>
            <w:vAlign w:val="center"/>
            <w:hideMark/>
          </w:tcPr>
          <w:p w14:paraId="58EA068D"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p>
        </w:tc>
        <w:tc>
          <w:tcPr>
            <w:tcW w:w="1882" w:type="dxa"/>
            <w:tcBorders>
              <w:top w:val="nil"/>
              <w:left w:val="nil"/>
              <w:bottom w:val="single" w:sz="4" w:space="0" w:color="auto"/>
              <w:right w:val="single" w:sz="4" w:space="0" w:color="auto"/>
            </w:tcBorders>
            <w:shd w:val="clear" w:color="auto" w:fill="auto"/>
            <w:vAlign w:val="center"/>
            <w:hideMark/>
          </w:tcPr>
          <w:p w14:paraId="250A2A1D" w14:textId="77777777" w:rsidR="00C7105E" w:rsidRPr="00D77D4D" w:rsidRDefault="00C7105E" w:rsidP="004E0D6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p>
        </w:tc>
      </w:tr>
    </w:tbl>
    <w:p w14:paraId="0AD91C3C" w14:textId="77777777" w:rsidR="001E1A85" w:rsidRDefault="001E1A85" w:rsidP="00A6180D">
      <w:pPr>
        <w:rPr>
          <w:b/>
        </w:rPr>
      </w:pPr>
      <w:r>
        <w:rPr>
          <w:b/>
        </w:rPr>
        <w:br w:type="page"/>
      </w:r>
    </w:p>
    <w:p w14:paraId="7AF10BEC" w14:textId="2657A170" w:rsidR="00C7105E" w:rsidRDefault="00C7105E" w:rsidP="001E1A85">
      <w:r>
        <w:lastRenderedPageBreak/>
        <w:t xml:space="preserve">If the minimum </w:t>
      </w:r>
      <w:r>
        <w:rPr>
          <w:i/>
        </w:rPr>
        <w:t>n-</w:t>
      </w:r>
      <w:r>
        <w:t xml:space="preserve">size is not met, the indicator will not be included for that school. The weighting assigned to indicators that are not included in the calculation of the index score will be redistributed proportionally among the indicators with enough students to meet the minimum </w:t>
      </w:r>
      <w:r w:rsidRPr="00B83D1C">
        <w:rPr>
          <w:i/>
        </w:rPr>
        <w:t>n</w:t>
      </w:r>
      <w:r>
        <w:t xml:space="preserve">. The following table reflects the redistributed weights for a hypothetical K-12 school that does not meet the minimum </w:t>
      </w:r>
      <w:r w:rsidRPr="00C009FB">
        <w:rPr>
          <w:i/>
        </w:rPr>
        <w:t>n</w:t>
      </w:r>
      <w:r>
        <w:t xml:space="preserve"> in English Learner Progress for either grade span:</w:t>
      </w:r>
    </w:p>
    <w:p w14:paraId="5BA08CF8" w14:textId="77777777" w:rsidR="00C7105E" w:rsidRDefault="00C7105E" w:rsidP="00C009FB">
      <w:pPr>
        <w:jc w:val="center"/>
        <w:rPr>
          <w:b/>
        </w:rPr>
      </w:pPr>
      <w:r>
        <w:rPr>
          <w:b/>
        </w:rPr>
        <w:t>Accountability Indicator Weights</w:t>
      </w:r>
    </w:p>
    <w:p w14:paraId="394CF0A4" w14:textId="77777777" w:rsidR="00C7105E" w:rsidRDefault="00C7105E" w:rsidP="00C009FB">
      <w:pPr>
        <w:jc w:val="center"/>
        <w:rPr>
          <w:rFonts w:ascii="Calibri" w:hAnsi="Calibri"/>
        </w:rPr>
      </w:pPr>
      <w:r>
        <w:rPr>
          <w:b/>
        </w:rPr>
        <w:t>Example of Redistributed Weights: No English Learner Progress</w:t>
      </w:r>
    </w:p>
    <w:tbl>
      <w:tblPr>
        <w:tblW w:w="7740" w:type="dxa"/>
        <w:jc w:val="center"/>
        <w:tblLook w:val="04A0" w:firstRow="1" w:lastRow="0" w:firstColumn="1" w:lastColumn="0" w:noHBand="0" w:noVBand="1"/>
      </w:tblPr>
      <w:tblGrid>
        <w:gridCol w:w="3278"/>
        <w:gridCol w:w="1654"/>
        <w:gridCol w:w="1821"/>
        <w:gridCol w:w="987"/>
      </w:tblGrid>
      <w:tr w:rsidR="00C7105E" w:rsidRPr="00D77D4D" w14:paraId="2917307D" w14:textId="77777777" w:rsidTr="00AD17BF">
        <w:trPr>
          <w:trHeight w:val="300"/>
          <w:jc w:val="center"/>
        </w:trPr>
        <w:tc>
          <w:tcPr>
            <w:tcW w:w="4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8A8A8"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Indicator</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622B1024"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Span</w:t>
            </w:r>
          </w:p>
        </w:tc>
      </w:tr>
      <w:tr w:rsidR="00C7105E" w:rsidRPr="00D77D4D" w14:paraId="6783CEBB" w14:textId="77777777" w:rsidTr="00AD17BF">
        <w:trPr>
          <w:trHeight w:val="300"/>
          <w:jc w:val="center"/>
        </w:trPr>
        <w:tc>
          <w:tcPr>
            <w:tcW w:w="4980" w:type="dxa"/>
            <w:gridSpan w:val="2"/>
            <w:vMerge/>
            <w:tcBorders>
              <w:top w:val="single" w:sz="4" w:space="0" w:color="auto"/>
              <w:left w:val="single" w:sz="4" w:space="0" w:color="auto"/>
              <w:bottom w:val="single" w:sz="4" w:space="0" w:color="auto"/>
              <w:right w:val="single" w:sz="4" w:space="0" w:color="auto"/>
            </w:tcBorders>
            <w:vAlign w:val="center"/>
            <w:hideMark/>
          </w:tcPr>
          <w:p w14:paraId="79ABE51A" w14:textId="77777777" w:rsidR="00C7105E" w:rsidRPr="00D77D4D" w:rsidRDefault="00C7105E" w:rsidP="005F459A">
            <w:pPr>
              <w:spacing w:after="0" w:line="240" w:lineRule="auto"/>
              <w:rPr>
                <w:rFonts w:ascii="Calibri" w:eastAsia="Times New Roman" w:hAnsi="Calibri" w:cs="Times New Roman"/>
                <w:color w:val="000000"/>
              </w:rPr>
            </w:pPr>
          </w:p>
        </w:tc>
        <w:tc>
          <w:tcPr>
            <w:tcW w:w="1840" w:type="dxa"/>
            <w:tcBorders>
              <w:top w:val="nil"/>
              <w:left w:val="nil"/>
              <w:bottom w:val="single" w:sz="4" w:space="0" w:color="auto"/>
              <w:right w:val="single" w:sz="4" w:space="0" w:color="auto"/>
            </w:tcBorders>
            <w:shd w:val="clear" w:color="auto" w:fill="auto"/>
            <w:vAlign w:val="center"/>
            <w:hideMark/>
          </w:tcPr>
          <w:p w14:paraId="52811167"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K-6</w:t>
            </w:r>
          </w:p>
        </w:tc>
        <w:tc>
          <w:tcPr>
            <w:tcW w:w="920" w:type="dxa"/>
            <w:tcBorders>
              <w:top w:val="nil"/>
              <w:left w:val="nil"/>
              <w:bottom w:val="single" w:sz="4" w:space="0" w:color="auto"/>
              <w:right w:val="single" w:sz="4" w:space="0" w:color="auto"/>
            </w:tcBorders>
            <w:shd w:val="clear" w:color="auto" w:fill="auto"/>
            <w:vAlign w:val="center"/>
            <w:hideMark/>
          </w:tcPr>
          <w:p w14:paraId="3C85791B"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 and above</w:t>
            </w:r>
          </w:p>
        </w:tc>
      </w:tr>
      <w:tr w:rsidR="00C7105E" w:rsidRPr="00D77D4D" w14:paraId="524FBA8F" w14:textId="77777777" w:rsidTr="00AD17BF">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469ED88A"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Achievement</w:t>
            </w:r>
          </w:p>
        </w:tc>
        <w:tc>
          <w:tcPr>
            <w:tcW w:w="1660" w:type="dxa"/>
            <w:tcBorders>
              <w:top w:val="nil"/>
              <w:left w:val="nil"/>
              <w:bottom w:val="single" w:sz="4" w:space="0" w:color="auto"/>
              <w:right w:val="single" w:sz="4" w:space="0" w:color="auto"/>
            </w:tcBorders>
            <w:shd w:val="clear" w:color="auto" w:fill="auto"/>
            <w:vAlign w:val="center"/>
            <w:hideMark/>
          </w:tcPr>
          <w:p w14:paraId="56E60298"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50FE609A"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17.65%</w:t>
            </w:r>
          </w:p>
        </w:tc>
        <w:tc>
          <w:tcPr>
            <w:tcW w:w="920" w:type="dxa"/>
            <w:tcBorders>
              <w:top w:val="nil"/>
              <w:left w:val="nil"/>
              <w:bottom w:val="single" w:sz="4" w:space="0" w:color="auto"/>
              <w:right w:val="single" w:sz="4" w:space="0" w:color="auto"/>
            </w:tcBorders>
            <w:shd w:val="clear" w:color="auto" w:fill="auto"/>
            <w:vAlign w:val="center"/>
            <w:hideMark/>
          </w:tcPr>
          <w:p w14:paraId="49CCD68D"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33.33%</w:t>
            </w:r>
          </w:p>
        </w:tc>
      </w:tr>
      <w:tr w:rsidR="00C7105E" w:rsidRPr="00D77D4D" w14:paraId="1DEF42F3" w14:textId="77777777" w:rsidTr="00AD17BF">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57B4E9E6" w14:textId="77777777" w:rsidR="00C7105E" w:rsidRPr="00D77D4D" w:rsidRDefault="00C7105E" w:rsidP="005F459A">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527DF040"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44769CF8" w14:textId="77777777" w:rsidR="00C7105E" w:rsidRPr="00D77D4D" w:rsidRDefault="00C7105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17.65%</w:t>
            </w:r>
          </w:p>
        </w:tc>
        <w:tc>
          <w:tcPr>
            <w:tcW w:w="920" w:type="dxa"/>
            <w:tcBorders>
              <w:top w:val="nil"/>
              <w:left w:val="nil"/>
              <w:bottom w:val="single" w:sz="4" w:space="0" w:color="auto"/>
              <w:right w:val="single" w:sz="4" w:space="0" w:color="auto"/>
            </w:tcBorders>
            <w:shd w:val="clear" w:color="auto" w:fill="auto"/>
            <w:vAlign w:val="center"/>
            <w:hideMark/>
          </w:tcPr>
          <w:p w14:paraId="1570A825"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33.33%</w:t>
            </w:r>
          </w:p>
        </w:tc>
      </w:tr>
      <w:tr w:rsidR="00C7105E" w:rsidRPr="00D77D4D" w14:paraId="2D835686" w14:textId="77777777" w:rsidTr="00AD17BF">
        <w:trPr>
          <w:trHeight w:val="6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7EE81DE5"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Growth</w:t>
            </w:r>
          </w:p>
        </w:tc>
        <w:tc>
          <w:tcPr>
            <w:tcW w:w="1660" w:type="dxa"/>
            <w:tcBorders>
              <w:top w:val="nil"/>
              <w:left w:val="nil"/>
              <w:bottom w:val="single" w:sz="4" w:space="0" w:color="auto"/>
              <w:right w:val="single" w:sz="4" w:space="0" w:color="auto"/>
            </w:tcBorders>
            <w:shd w:val="clear" w:color="auto" w:fill="auto"/>
            <w:vAlign w:val="center"/>
            <w:hideMark/>
          </w:tcPr>
          <w:p w14:paraId="29CFCE2F"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24259B72"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23.53%</w:t>
            </w:r>
          </w:p>
        </w:tc>
        <w:tc>
          <w:tcPr>
            <w:tcW w:w="920" w:type="dxa"/>
            <w:tcBorders>
              <w:top w:val="nil"/>
              <w:left w:val="nil"/>
              <w:bottom w:val="single" w:sz="4" w:space="0" w:color="auto"/>
              <w:right w:val="single" w:sz="4" w:space="0" w:color="auto"/>
            </w:tcBorders>
            <w:shd w:val="clear" w:color="auto" w:fill="auto"/>
            <w:vAlign w:val="center"/>
            <w:hideMark/>
          </w:tcPr>
          <w:p w14:paraId="51C92AFF"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3EFF04E6" w14:textId="77777777" w:rsidTr="00AD17BF">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229B1D03" w14:textId="77777777" w:rsidR="00C7105E" w:rsidRPr="00D77D4D" w:rsidRDefault="00C7105E" w:rsidP="005F459A">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33B4B6C3"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Math</w:t>
            </w:r>
            <w:r>
              <w:rPr>
                <w:rFonts w:ascii="Calibri" w:eastAsia="Times New Roman" w:hAnsi="Calibri" w:cs="Times New Roman"/>
                <w:color w:val="000000"/>
              </w:rPr>
              <w:t>ematics</w:t>
            </w:r>
          </w:p>
        </w:tc>
        <w:tc>
          <w:tcPr>
            <w:tcW w:w="1840" w:type="dxa"/>
            <w:tcBorders>
              <w:top w:val="nil"/>
              <w:left w:val="nil"/>
              <w:bottom w:val="single" w:sz="4" w:space="0" w:color="auto"/>
              <w:right w:val="single" w:sz="4" w:space="0" w:color="auto"/>
            </w:tcBorders>
            <w:shd w:val="clear" w:color="auto" w:fill="auto"/>
            <w:vAlign w:val="center"/>
            <w:hideMark/>
          </w:tcPr>
          <w:p w14:paraId="36D412EF"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23.53%</w:t>
            </w:r>
          </w:p>
        </w:tc>
        <w:tc>
          <w:tcPr>
            <w:tcW w:w="920" w:type="dxa"/>
            <w:tcBorders>
              <w:top w:val="nil"/>
              <w:left w:val="nil"/>
              <w:bottom w:val="single" w:sz="4" w:space="0" w:color="auto"/>
              <w:right w:val="single" w:sz="4" w:space="0" w:color="auto"/>
            </w:tcBorders>
            <w:shd w:val="clear" w:color="auto" w:fill="auto"/>
            <w:vAlign w:val="center"/>
            <w:hideMark/>
          </w:tcPr>
          <w:p w14:paraId="00E7283B"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1AAAA24F" w14:textId="77777777" w:rsidTr="00AD17BF">
        <w:trPr>
          <w:trHeight w:val="300"/>
          <w:jc w:val="center"/>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586BBE80"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Graduation Rate</w:t>
            </w:r>
          </w:p>
        </w:tc>
        <w:tc>
          <w:tcPr>
            <w:tcW w:w="1660" w:type="dxa"/>
            <w:tcBorders>
              <w:top w:val="nil"/>
              <w:left w:val="nil"/>
              <w:bottom w:val="single" w:sz="4" w:space="0" w:color="auto"/>
              <w:right w:val="single" w:sz="4" w:space="0" w:color="auto"/>
            </w:tcBorders>
            <w:shd w:val="clear" w:color="auto" w:fill="auto"/>
            <w:vAlign w:val="center"/>
            <w:hideMark/>
          </w:tcPr>
          <w:p w14:paraId="38781CBA"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Four-Year</w:t>
            </w:r>
          </w:p>
        </w:tc>
        <w:tc>
          <w:tcPr>
            <w:tcW w:w="1840" w:type="dxa"/>
            <w:tcBorders>
              <w:top w:val="nil"/>
              <w:left w:val="nil"/>
              <w:bottom w:val="single" w:sz="4" w:space="0" w:color="auto"/>
              <w:right w:val="single" w:sz="4" w:space="0" w:color="auto"/>
            </w:tcBorders>
            <w:shd w:val="clear" w:color="auto" w:fill="auto"/>
            <w:vAlign w:val="center"/>
            <w:hideMark/>
          </w:tcPr>
          <w:p w14:paraId="72F2D872"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69667530"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16.67%</w:t>
            </w:r>
          </w:p>
        </w:tc>
      </w:tr>
      <w:tr w:rsidR="00C7105E" w:rsidRPr="00D77D4D" w14:paraId="50F6CD3A" w14:textId="77777777" w:rsidTr="00AD17BF">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1F216B72" w14:textId="77777777" w:rsidR="00C7105E" w:rsidRPr="00D77D4D" w:rsidRDefault="00C7105E" w:rsidP="005F459A">
            <w:pPr>
              <w:spacing w:after="0" w:line="240" w:lineRule="auto"/>
              <w:rPr>
                <w:rFonts w:ascii="Calibri" w:eastAsia="Times New Roman" w:hAnsi="Calibri" w:cs="Times New Roman"/>
                <w:color w:val="000000"/>
              </w:rPr>
            </w:pPr>
          </w:p>
        </w:tc>
        <w:tc>
          <w:tcPr>
            <w:tcW w:w="1660" w:type="dxa"/>
            <w:tcBorders>
              <w:top w:val="nil"/>
              <w:left w:val="nil"/>
              <w:bottom w:val="single" w:sz="4" w:space="0" w:color="auto"/>
              <w:right w:val="single" w:sz="4" w:space="0" w:color="auto"/>
            </w:tcBorders>
            <w:shd w:val="clear" w:color="auto" w:fill="auto"/>
            <w:vAlign w:val="center"/>
            <w:hideMark/>
          </w:tcPr>
          <w:p w14:paraId="6023B779"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Five-Year</w:t>
            </w:r>
          </w:p>
        </w:tc>
        <w:tc>
          <w:tcPr>
            <w:tcW w:w="1840" w:type="dxa"/>
            <w:tcBorders>
              <w:top w:val="nil"/>
              <w:left w:val="nil"/>
              <w:bottom w:val="single" w:sz="4" w:space="0" w:color="auto"/>
              <w:right w:val="single" w:sz="4" w:space="0" w:color="auto"/>
            </w:tcBorders>
            <w:shd w:val="clear" w:color="auto" w:fill="auto"/>
            <w:vAlign w:val="center"/>
            <w:hideMark/>
          </w:tcPr>
          <w:p w14:paraId="55428C99"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920" w:type="dxa"/>
            <w:tcBorders>
              <w:top w:val="nil"/>
              <w:left w:val="nil"/>
              <w:bottom w:val="single" w:sz="4" w:space="0" w:color="auto"/>
              <w:right w:val="single" w:sz="4" w:space="0" w:color="auto"/>
            </w:tcBorders>
            <w:shd w:val="clear" w:color="auto" w:fill="auto"/>
            <w:vAlign w:val="center"/>
            <w:hideMark/>
          </w:tcPr>
          <w:p w14:paraId="7518BC25" w14:textId="77777777" w:rsidR="00C7105E" w:rsidRPr="00D77D4D" w:rsidRDefault="00C7105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5.56%</w:t>
            </w:r>
          </w:p>
        </w:tc>
      </w:tr>
      <w:tr w:rsidR="00C7105E" w:rsidRPr="00D77D4D" w14:paraId="3068CF1E" w14:textId="77777777" w:rsidTr="00AD17BF">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2C1897"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English Learner Progress</w:t>
            </w:r>
          </w:p>
        </w:tc>
        <w:tc>
          <w:tcPr>
            <w:tcW w:w="1840" w:type="dxa"/>
            <w:tcBorders>
              <w:top w:val="nil"/>
              <w:left w:val="nil"/>
              <w:bottom w:val="single" w:sz="4" w:space="0" w:color="auto"/>
              <w:right w:val="single" w:sz="4" w:space="0" w:color="auto"/>
            </w:tcBorders>
            <w:shd w:val="clear" w:color="auto" w:fill="auto"/>
            <w:vAlign w:val="center"/>
            <w:hideMark/>
          </w:tcPr>
          <w:p w14:paraId="61B82F9F"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Pr="00D77D4D">
              <w:rPr>
                <w:rFonts w:ascii="Calibri" w:eastAsia="Times New Roman" w:hAnsi="Calibri" w:cs="Times New Roman"/>
                <w:color w:val="000000"/>
              </w:rPr>
              <w:t>%</w:t>
            </w:r>
          </w:p>
        </w:tc>
        <w:tc>
          <w:tcPr>
            <w:tcW w:w="920" w:type="dxa"/>
            <w:tcBorders>
              <w:top w:val="nil"/>
              <w:left w:val="nil"/>
              <w:bottom w:val="single" w:sz="4" w:space="0" w:color="auto"/>
              <w:right w:val="single" w:sz="4" w:space="0" w:color="auto"/>
            </w:tcBorders>
            <w:shd w:val="clear" w:color="auto" w:fill="auto"/>
            <w:vAlign w:val="center"/>
            <w:hideMark/>
          </w:tcPr>
          <w:p w14:paraId="7207CDA3"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Pr="00D77D4D">
              <w:rPr>
                <w:rFonts w:ascii="Calibri" w:eastAsia="Times New Roman" w:hAnsi="Calibri" w:cs="Times New Roman"/>
                <w:color w:val="000000"/>
              </w:rPr>
              <w:t>%</w:t>
            </w:r>
          </w:p>
        </w:tc>
      </w:tr>
      <w:tr w:rsidR="00C7105E" w:rsidRPr="00D77D4D" w14:paraId="5827D54B" w14:textId="77777777" w:rsidTr="00AD17BF">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E70C3"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Chronic Absenteeism</w:t>
            </w:r>
          </w:p>
        </w:tc>
        <w:tc>
          <w:tcPr>
            <w:tcW w:w="1840" w:type="dxa"/>
            <w:tcBorders>
              <w:top w:val="nil"/>
              <w:left w:val="nil"/>
              <w:bottom w:val="single" w:sz="4" w:space="0" w:color="auto"/>
              <w:right w:val="single" w:sz="4" w:space="0" w:color="auto"/>
            </w:tcBorders>
            <w:shd w:val="clear" w:color="auto" w:fill="auto"/>
            <w:vAlign w:val="center"/>
            <w:hideMark/>
          </w:tcPr>
          <w:p w14:paraId="5398D1E3"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11.76%</w:t>
            </w:r>
          </w:p>
        </w:tc>
        <w:tc>
          <w:tcPr>
            <w:tcW w:w="920" w:type="dxa"/>
            <w:tcBorders>
              <w:top w:val="nil"/>
              <w:left w:val="nil"/>
              <w:bottom w:val="single" w:sz="4" w:space="0" w:color="auto"/>
              <w:right w:val="single" w:sz="4" w:space="0" w:color="auto"/>
            </w:tcBorders>
            <w:shd w:val="clear" w:color="auto" w:fill="auto"/>
            <w:vAlign w:val="center"/>
            <w:hideMark/>
          </w:tcPr>
          <w:p w14:paraId="28B8E4A2"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11.11%</w:t>
            </w:r>
          </w:p>
        </w:tc>
      </w:tr>
      <w:tr w:rsidR="00C7105E" w:rsidRPr="00D77D4D" w14:paraId="59C5CA97" w14:textId="77777777" w:rsidTr="00AD17BF">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E922A"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3 English Language Arts</w:t>
            </w:r>
          </w:p>
        </w:tc>
        <w:tc>
          <w:tcPr>
            <w:tcW w:w="1840" w:type="dxa"/>
            <w:tcBorders>
              <w:top w:val="nil"/>
              <w:left w:val="nil"/>
              <w:bottom w:val="single" w:sz="4" w:space="0" w:color="auto"/>
              <w:right w:val="single" w:sz="4" w:space="0" w:color="auto"/>
            </w:tcBorders>
            <w:shd w:val="clear" w:color="auto" w:fill="auto"/>
            <w:vAlign w:val="center"/>
            <w:hideMark/>
          </w:tcPr>
          <w:p w14:paraId="14AA08A9" w14:textId="77777777" w:rsidR="00C7105E" w:rsidRPr="00D77D4D" w:rsidRDefault="00C7105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5.88%</w:t>
            </w:r>
          </w:p>
        </w:tc>
        <w:tc>
          <w:tcPr>
            <w:tcW w:w="920" w:type="dxa"/>
            <w:tcBorders>
              <w:top w:val="nil"/>
              <w:left w:val="nil"/>
              <w:bottom w:val="single" w:sz="4" w:space="0" w:color="auto"/>
              <w:right w:val="single" w:sz="4" w:space="0" w:color="auto"/>
            </w:tcBorders>
            <w:shd w:val="clear" w:color="auto" w:fill="auto"/>
            <w:vAlign w:val="center"/>
            <w:hideMark/>
          </w:tcPr>
          <w:p w14:paraId="5A1B0619" w14:textId="77777777" w:rsidR="00C7105E" w:rsidRPr="00D77D4D" w:rsidRDefault="00C7105E" w:rsidP="005F459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C7105E" w:rsidRPr="00D77D4D" w14:paraId="361DE287" w14:textId="77777777" w:rsidTr="00AD17BF">
        <w:trPr>
          <w:trHeight w:val="300"/>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9F712"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Total</w:t>
            </w:r>
          </w:p>
        </w:tc>
        <w:tc>
          <w:tcPr>
            <w:tcW w:w="1840" w:type="dxa"/>
            <w:tcBorders>
              <w:top w:val="nil"/>
              <w:left w:val="nil"/>
              <w:bottom w:val="single" w:sz="4" w:space="0" w:color="auto"/>
              <w:right w:val="single" w:sz="4" w:space="0" w:color="auto"/>
            </w:tcBorders>
            <w:shd w:val="clear" w:color="auto" w:fill="auto"/>
            <w:vAlign w:val="center"/>
            <w:hideMark/>
          </w:tcPr>
          <w:p w14:paraId="77883CCF"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r>
              <w:rPr>
                <w:rFonts w:ascii="Calibri" w:eastAsia="Times New Roman" w:hAnsi="Calibri" w:cs="Times New Roman"/>
                <w:color w:val="000000"/>
              </w:rPr>
              <w:t>.00</w:t>
            </w:r>
            <w:r w:rsidRPr="00D77D4D">
              <w:rPr>
                <w:rFonts w:ascii="Calibri" w:eastAsia="Times New Roman" w:hAnsi="Calibri" w:cs="Times New Roman"/>
                <w:color w:val="000000"/>
              </w:rPr>
              <w:t>%</w:t>
            </w:r>
          </w:p>
        </w:tc>
        <w:tc>
          <w:tcPr>
            <w:tcW w:w="920" w:type="dxa"/>
            <w:tcBorders>
              <w:top w:val="nil"/>
              <w:left w:val="nil"/>
              <w:bottom w:val="single" w:sz="4" w:space="0" w:color="auto"/>
              <w:right w:val="single" w:sz="4" w:space="0" w:color="auto"/>
            </w:tcBorders>
            <w:shd w:val="clear" w:color="auto" w:fill="auto"/>
            <w:vAlign w:val="center"/>
            <w:hideMark/>
          </w:tcPr>
          <w:p w14:paraId="4091D825" w14:textId="77777777" w:rsidR="00C7105E" w:rsidRPr="00D77D4D" w:rsidRDefault="00C7105E" w:rsidP="005F459A">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100</w:t>
            </w:r>
            <w:r>
              <w:rPr>
                <w:rFonts w:ascii="Calibri" w:eastAsia="Times New Roman" w:hAnsi="Calibri" w:cs="Times New Roman"/>
                <w:color w:val="000000"/>
              </w:rPr>
              <w:t>.00</w:t>
            </w:r>
            <w:r w:rsidRPr="00D77D4D">
              <w:rPr>
                <w:rFonts w:ascii="Calibri" w:eastAsia="Times New Roman" w:hAnsi="Calibri" w:cs="Times New Roman"/>
                <w:color w:val="000000"/>
              </w:rPr>
              <w:t>%</w:t>
            </w:r>
          </w:p>
        </w:tc>
      </w:tr>
    </w:tbl>
    <w:p w14:paraId="079E66C1" w14:textId="77777777" w:rsidR="00C7105E" w:rsidRDefault="00C7105E" w:rsidP="001E1A85">
      <w:pPr>
        <w:spacing w:before="240"/>
      </w:pPr>
      <w:r>
        <w:t>A school’s overall index score is the result of two separate calculations: one based on indicators for students enrolled in grades K-6, and one based on indicators for students enrolled in grades 7-12. Alaska will weight these two calculations based on enrollment on October 1.</w:t>
      </w:r>
      <w:r w:rsidRPr="00E36DFD">
        <w:t xml:space="preserve"> The following chart shows an example of such a school</w:t>
      </w:r>
      <w:r>
        <w:t>:</w:t>
      </w:r>
    </w:p>
    <w:tbl>
      <w:tblPr>
        <w:tblW w:w="8300" w:type="dxa"/>
        <w:jc w:val="center"/>
        <w:tblLook w:val="04A0" w:firstRow="1" w:lastRow="0" w:firstColumn="1" w:lastColumn="0" w:noHBand="0" w:noVBand="1"/>
      </w:tblPr>
      <w:tblGrid>
        <w:gridCol w:w="1660"/>
        <w:gridCol w:w="1660"/>
        <w:gridCol w:w="1660"/>
        <w:gridCol w:w="1660"/>
        <w:gridCol w:w="1660"/>
      </w:tblGrid>
      <w:tr w:rsidR="00C7105E" w:rsidRPr="00D77D4D" w14:paraId="24480A1D" w14:textId="77777777" w:rsidTr="00B83D1C">
        <w:trPr>
          <w:trHeight w:val="9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8D24F"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Grade Span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068FC1C"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Index Points Earned</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69CAF17"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Enrollment on October 1</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3F5D4EE"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 of Overall Enrollment on October 1</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8F6848D"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Weighted Points</w:t>
            </w:r>
          </w:p>
        </w:tc>
      </w:tr>
      <w:tr w:rsidR="00C7105E" w:rsidRPr="00D77D4D" w14:paraId="3341F90C" w14:textId="77777777" w:rsidTr="00B83D1C">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AB8BBCB"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K-6</w:t>
            </w:r>
          </w:p>
        </w:tc>
        <w:tc>
          <w:tcPr>
            <w:tcW w:w="1660" w:type="dxa"/>
            <w:tcBorders>
              <w:top w:val="nil"/>
              <w:left w:val="nil"/>
              <w:bottom w:val="single" w:sz="4" w:space="0" w:color="auto"/>
              <w:right w:val="single" w:sz="4" w:space="0" w:color="auto"/>
            </w:tcBorders>
            <w:shd w:val="clear" w:color="auto" w:fill="auto"/>
            <w:noWrap/>
            <w:vAlign w:val="center"/>
            <w:hideMark/>
          </w:tcPr>
          <w:p w14:paraId="1C0962F8"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75.00</w:t>
            </w:r>
          </w:p>
        </w:tc>
        <w:tc>
          <w:tcPr>
            <w:tcW w:w="1660" w:type="dxa"/>
            <w:tcBorders>
              <w:top w:val="nil"/>
              <w:left w:val="nil"/>
              <w:bottom w:val="single" w:sz="4" w:space="0" w:color="auto"/>
              <w:right w:val="single" w:sz="4" w:space="0" w:color="auto"/>
            </w:tcBorders>
            <w:shd w:val="clear" w:color="auto" w:fill="auto"/>
            <w:noWrap/>
            <w:vAlign w:val="center"/>
            <w:hideMark/>
          </w:tcPr>
          <w:p w14:paraId="2F268043"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500</w:t>
            </w:r>
          </w:p>
        </w:tc>
        <w:tc>
          <w:tcPr>
            <w:tcW w:w="1660" w:type="dxa"/>
            <w:tcBorders>
              <w:top w:val="nil"/>
              <w:left w:val="nil"/>
              <w:bottom w:val="single" w:sz="4" w:space="0" w:color="auto"/>
              <w:right w:val="single" w:sz="4" w:space="0" w:color="auto"/>
            </w:tcBorders>
            <w:shd w:val="clear" w:color="auto" w:fill="auto"/>
            <w:noWrap/>
            <w:vAlign w:val="center"/>
            <w:hideMark/>
          </w:tcPr>
          <w:p w14:paraId="73135EB5"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66.67%</w:t>
            </w:r>
          </w:p>
        </w:tc>
        <w:tc>
          <w:tcPr>
            <w:tcW w:w="1660" w:type="dxa"/>
            <w:tcBorders>
              <w:top w:val="nil"/>
              <w:left w:val="nil"/>
              <w:bottom w:val="single" w:sz="4" w:space="0" w:color="auto"/>
              <w:right w:val="single" w:sz="4" w:space="0" w:color="auto"/>
            </w:tcBorders>
            <w:shd w:val="clear" w:color="auto" w:fill="auto"/>
            <w:noWrap/>
            <w:vAlign w:val="center"/>
            <w:hideMark/>
          </w:tcPr>
          <w:p w14:paraId="492533D3"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50.00</w:t>
            </w:r>
          </w:p>
        </w:tc>
      </w:tr>
      <w:tr w:rsidR="00C7105E" w:rsidRPr="00D77D4D" w14:paraId="1858CE45" w14:textId="77777777" w:rsidTr="00B83D1C">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4FC2192"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7-12</w:t>
            </w:r>
          </w:p>
        </w:tc>
        <w:tc>
          <w:tcPr>
            <w:tcW w:w="1660" w:type="dxa"/>
            <w:tcBorders>
              <w:top w:val="nil"/>
              <w:left w:val="nil"/>
              <w:bottom w:val="single" w:sz="4" w:space="0" w:color="auto"/>
              <w:right w:val="single" w:sz="4" w:space="0" w:color="auto"/>
            </w:tcBorders>
            <w:shd w:val="clear" w:color="auto" w:fill="auto"/>
            <w:noWrap/>
            <w:vAlign w:val="center"/>
            <w:hideMark/>
          </w:tcPr>
          <w:p w14:paraId="57A09A35"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60.00</w:t>
            </w:r>
          </w:p>
        </w:tc>
        <w:tc>
          <w:tcPr>
            <w:tcW w:w="1660" w:type="dxa"/>
            <w:tcBorders>
              <w:top w:val="nil"/>
              <w:left w:val="nil"/>
              <w:bottom w:val="single" w:sz="4" w:space="0" w:color="auto"/>
              <w:right w:val="single" w:sz="4" w:space="0" w:color="auto"/>
            </w:tcBorders>
            <w:shd w:val="clear" w:color="auto" w:fill="auto"/>
            <w:noWrap/>
            <w:vAlign w:val="center"/>
            <w:hideMark/>
          </w:tcPr>
          <w:p w14:paraId="4748B79F"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250</w:t>
            </w:r>
          </w:p>
        </w:tc>
        <w:tc>
          <w:tcPr>
            <w:tcW w:w="1660" w:type="dxa"/>
            <w:tcBorders>
              <w:top w:val="nil"/>
              <w:left w:val="nil"/>
              <w:bottom w:val="single" w:sz="4" w:space="0" w:color="auto"/>
              <w:right w:val="single" w:sz="4" w:space="0" w:color="auto"/>
            </w:tcBorders>
            <w:shd w:val="clear" w:color="auto" w:fill="auto"/>
            <w:noWrap/>
            <w:vAlign w:val="center"/>
            <w:hideMark/>
          </w:tcPr>
          <w:p w14:paraId="4BB93CD5"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33.33%</w:t>
            </w:r>
          </w:p>
        </w:tc>
        <w:tc>
          <w:tcPr>
            <w:tcW w:w="1660" w:type="dxa"/>
            <w:tcBorders>
              <w:top w:val="nil"/>
              <w:left w:val="nil"/>
              <w:bottom w:val="single" w:sz="4" w:space="0" w:color="auto"/>
              <w:right w:val="single" w:sz="4" w:space="0" w:color="auto"/>
            </w:tcBorders>
            <w:shd w:val="clear" w:color="auto" w:fill="auto"/>
            <w:noWrap/>
            <w:vAlign w:val="center"/>
            <w:hideMark/>
          </w:tcPr>
          <w:p w14:paraId="1C5F8AB4" w14:textId="77777777" w:rsidR="00C7105E" w:rsidRPr="00D77D4D" w:rsidRDefault="00C7105E" w:rsidP="00D77D4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20.00</w:t>
            </w:r>
          </w:p>
        </w:tc>
      </w:tr>
      <w:tr w:rsidR="00C7105E" w:rsidRPr="00D77D4D" w14:paraId="3D43A914" w14:textId="77777777" w:rsidTr="00B83D1C">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1EDED5B"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Total for School</w:t>
            </w:r>
          </w:p>
        </w:tc>
        <w:tc>
          <w:tcPr>
            <w:tcW w:w="1660" w:type="dxa"/>
            <w:tcBorders>
              <w:top w:val="nil"/>
              <w:left w:val="nil"/>
              <w:bottom w:val="single" w:sz="4" w:space="0" w:color="auto"/>
              <w:right w:val="single" w:sz="4" w:space="0" w:color="auto"/>
            </w:tcBorders>
            <w:shd w:val="clear" w:color="auto" w:fill="auto"/>
            <w:noWrap/>
            <w:vAlign w:val="center"/>
            <w:hideMark/>
          </w:tcPr>
          <w:p w14:paraId="3FB7900E"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w:t>
            </w:r>
          </w:p>
        </w:tc>
        <w:tc>
          <w:tcPr>
            <w:tcW w:w="1660" w:type="dxa"/>
            <w:tcBorders>
              <w:top w:val="nil"/>
              <w:left w:val="nil"/>
              <w:bottom w:val="single" w:sz="4" w:space="0" w:color="auto"/>
              <w:right w:val="single" w:sz="4" w:space="0" w:color="auto"/>
            </w:tcBorders>
            <w:shd w:val="clear" w:color="auto" w:fill="auto"/>
            <w:noWrap/>
            <w:vAlign w:val="center"/>
            <w:hideMark/>
          </w:tcPr>
          <w:p w14:paraId="001E3451"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750</w:t>
            </w:r>
          </w:p>
        </w:tc>
        <w:tc>
          <w:tcPr>
            <w:tcW w:w="1660" w:type="dxa"/>
            <w:tcBorders>
              <w:top w:val="nil"/>
              <w:left w:val="nil"/>
              <w:bottom w:val="single" w:sz="4" w:space="0" w:color="auto"/>
              <w:right w:val="single" w:sz="4" w:space="0" w:color="auto"/>
            </w:tcBorders>
            <w:shd w:val="clear" w:color="auto" w:fill="auto"/>
            <w:noWrap/>
            <w:vAlign w:val="center"/>
            <w:hideMark/>
          </w:tcPr>
          <w:p w14:paraId="21C9C8FD" w14:textId="77777777" w:rsidR="00C7105E" w:rsidRPr="00D77D4D" w:rsidRDefault="00C7105E" w:rsidP="00D77D4D">
            <w:pPr>
              <w:spacing w:after="0" w:line="240" w:lineRule="auto"/>
              <w:jc w:val="center"/>
              <w:rPr>
                <w:rFonts w:ascii="Calibri" w:eastAsia="Times New Roman" w:hAnsi="Calibri" w:cs="Times New Roman"/>
                <w:color w:val="000000"/>
              </w:rPr>
            </w:pPr>
            <w:r w:rsidRPr="00D77D4D">
              <w:rPr>
                <w:rFonts w:ascii="Calibri" w:eastAsia="Times New Roman" w:hAnsi="Calibri" w:cs="Times New Roman"/>
                <w:color w:val="000000"/>
              </w:rPr>
              <w:t>--</w:t>
            </w:r>
          </w:p>
        </w:tc>
        <w:tc>
          <w:tcPr>
            <w:tcW w:w="1660" w:type="dxa"/>
            <w:tcBorders>
              <w:top w:val="nil"/>
              <w:left w:val="nil"/>
              <w:bottom w:val="single" w:sz="4" w:space="0" w:color="auto"/>
              <w:right w:val="single" w:sz="4" w:space="0" w:color="auto"/>
            </w:tcBorders>
            <w:shd w:val="clear" w:color="auto" w:fill="auto"/>
            <w:noWrap/>
            <w:vAlign w:val="center"/>
            <w:hideMark/>
          </w:tcPr>
          <w:p w14:paraId="55306947" w14:textId="77777777" w:rsidR="00C7105E" w:rsidRPr="00D77D4D" w:rsidRDefault="00C7105E" w:rsidP="00D77D4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70.00</w:t>
            </w:r>
          </w:p>
        </w:tc>
      </w:tr>
    </w:tbl>
    <w:p w14:paraId="10FF784C" w14:textId="75814697" w:rsidR="00F11DB4" w:rsidRDefault="00F11DB4">
      <w:r>
        <w:br w:type="page"/>
      </w:r>
    </w:p>
    <w:p w14:paraId="70D05D12" w14:textId="77777777" w:rsidR="00C7105E" w:rsidRPr="00697AC2" w:rsidRDefault="00C7105E" w:rsidP="001E1A85">
      <w:pPr>
        <w:pStyle w:val="Default"/>
        <w:numPr>
          <w:ilvl w:val="0"/>
          <w:numId w:val="38"/>
        </w:numPr>
        <w:spacing w:after="120"/>
        <w:ind w:left="1440"/>
        <w:rPr>
          <w:rFonts w:ascii="Calibri" w:hAnsi="Calibri"/>
          <w:sz w:val="22"/>
          <w:szCs w:val="22"/>
        </w:rPr>
      </w:pPr>
      <w:r>
        <w:rPr>
          <w:rFonts w:ascii="Calibri" w:hAnsi="Calibri"/>
          <w:sz w:val="22"/>
          <w:szCs w:val="22"/>
        </w:rPr>
        <w:lastRenderedPageBreak/>
        <w:t>If the State</w:t>
      </w:r>
      <w:r w:rsidRPr="00697AC2">
        <w:rPr>
          <w:rFonts w:ascii="Calibri" w:hAnsi="Calibri"/>
          <w:sz w:val="22"/>
          <w:szCs w:val="22"/>
        </w:rPr>
        <w:t xml:space="preserve"> uses a different methodology or method</w:t>
      </w:r>
      <w:r>
        <w:rPr>
          <w:rFonts w:ascii="Calibri" w:hAnsi="Calibri"/>
          <w:sz w:val="22"/>
          <w:szCs w:val="22"/>
        </w:rPr>
        <w:t xml:space="preserve">ologies for annual meaningful </w:t>
      </w:r>
      <w:r w:rsidRPr="00697AC2">
        <w:rPr>
          <w:rFonts w:ascii="Calibri" w:hAnsi="Calibri"/>
          <w:sz w:val="22"/>
          <w:szCs w:val="22"/>
        </w:rPr>
        <w:t>differentiation than the one described in 4.v.a. above for schools for which an accountability determination cannot be made (</w:t>
      </w:r>
      <w:r w:rsidRPr="00697AC2">
        <w:rPr>
          <w:rFonts w:ascii="Calibri" w:hAnsi="Calibri"/>
          <w:i/>
          <w:iCs/>
          <w:sz w:val="22"/>
          <w:szCs w:val="22"/>
        </w:rPr>
        <w:t>e.g.</w:t>
      </w:r>
      <w:r w:rsidRPr="00697AC2">
        <w:rPr>
          <w:rFonts w:ascii="Calibri" w:hAnsi="Calibri"/>
          <w:sz w:val="22"/>
          <w:szCs w:val="22"/>
        </w:rPr>
        <w:t>, P-2 sch</w:t>
      </w:r>
      <w:r>
        <w:rPr>
          <w:rFonts w:ascii="Calibri" w:hAnsi="Calibri"/>
          <w:sz w:val="22"/>
          <w:szCs w:val="22"/>
        </w:rPr>
        <w:t xml:space="preserve">ools), describe the different </w:t>
      </w:r>
      <w:r w:rsidRPr="00697AC2">
        <w:rPr>
          <w:rFonts w:ascii="Calibri" w:hAnsi="Calibri"/>
          <w:sz w:val="22"/>
          <w:szCs w:val="22"/>
        </w:rPr>
        <w:t xml:space="preserve">methodology or methodologies, indicating the type(s) of schools to which it applies. </w:t>
      </w:r>
    </w:p>
    <w:p w14:paraId="0D99B039" w14:textId="77777777" w:rsidR="00C7105E" w:rsidRDefault="00C7105E" w:rsidP="00FF422C">
      <w:r>
        <w:t xml:space="preserve">Every school that meets the minimum </w:t>
      </w:r>
      <w:r w:rsidRPr="006D253D">
        <w:rPr>
          <w:i/>
        </w:rPr>
        <w:t>n</w:t>
      </w:r>
      <w:r>
        <w:t xml:space="preserve"> in at least two indicators (which guarantees that at least one academic indicator will be included) will receive an index score and a designation. </w:t>
      </w:r>
    </w:p>
    <w:p w14:paraId="0D3BB704" w14:textId="77777777" w:rsidR="00C7105E" w:rsidRDefault="00C7105E" w:rsidP="00FF422C">
      <w:r w:rsidRPr="00094333">
        <w:rPr>
          <w:u w:val="single"/>
        </w:rPr>
        <w:t>Universal Support:</w:t>
      </w:r>
      <w:r>
        <w:t xml:space="preserve"> From the schools that receive an index score, Alaska will first determine the schools to be designated for Comprehensive Support and Improvement as indicated in Section 4.vi.a-d. Alaska will then determine the schools to be designated as Targeted Support and Improvement from the remaining schools, as described in Section 4.vi.e-f. The remaining schools that have an index score will receive a designation of Universal Support. </w:t>
      </w:r>
    </w:p>
    <w:p w14:paraId="6E5B83D3" w14:textId="77777777" w:rsidR="00C7105E" w:rsidRDefault="00C7105E" w:rsidP="00FF422C">
      <w:r w:rsidRPr="00094333">
        <w:rPr>
          <w:u w:val="single"/>
        </w:rPr>
        <w:t>Small Schools:</w:t>
      </w:r>
      <w:r>
        <w:t xml:space="preserve"> In order to maximize the number of schools that will meet the minimum n and receive an index score, Alaska will aggregate up to three years of available data when calculating index scores and determining designations for the 2018-2019 school year in the fall of 2018. </w:t>
      </w:r>
    </w:p>
    <w:p w14:paraId="0A769AC2" w14:textId="77777777" w:rsidR="00C7105E" w:rsidRDefault="00C7105E" w:rsidP="006D253D">
      <w:r>
        <w:t xml:space="preserve">When a school does not meet the minimum </w:t>
      </w:r>
      <w:r w:rsidRPr="006D253D">
        <w:rPr>
          <w:i/>
        </w:rPr>
        <w:t>n</w:t>
      </w:r>
      <w:r>
        <w:t xml:space="preserve"> of ten students in at least two of the accountability indicators, a different approach to accountability and meaningful differentiation is taken. Alaska will report data, to the extent possible, for these schools in all indicators. Because the minimum n for reporting is 5, Alaska will report data on the indicators when at least 5 students are included. A small school performance review will be conducted for these schools to protect student-level information. Based on the small school review, the bottom five percent of the Title I schools in this group will be designated as Small School Comprehensive Support and Improvement. Other schools in this group will receive, if applicable, a designation as Small School Targeted Support and Improvement. The remaining schools in this group will receive a designation of Small School Support. DEED will work with the district leadership for these schools to ensure that schools designated as Small School CSI or Small School TSI will complete a school improvement plan that aligns with the accountability indicators and will receive appropriate CSI or TSI supports as applicable to the context of the school. </w:t>
      </w:r>
    </w:p>
    <w:p w14:paraId="590E0194" w14:textId="77777777" w:rsidR="00C7105E" w:rsidRDefault="00C7105E" w:rsidP="00A6180D">
      <w:pPr>
        <w:rPr>
          <w:rFonts w:ascii="Calibri" w:hAnsi="Calibri"/>
        </w:rPr>
      </w:pPr>
      <w:r w:rsidRPr="00BC64BB">
        <w:rPr>
          <w:rFonts w:ascii="Calibri" w:hAnsi="Calibri"/>
          <w:u w:val="single"/>
        </w:rPr>
        <w:t xml:space="preserve">Schools with no tested </w:t>
      </w:r>
      <w:r w:rsidRPr="00094333">
        <w:rPr>
          <w:rFonts w:ascii="Calibri" w:hAnsi="Calibri"/>
          <w:u w:val="single"/>
        </w:rPr>
        <w:t>grades (K-2):</w:t>
      </w:r>
      <w:r w:rsidRPr="00094333">
        <w:rPr>
          <w:rFonts w:ascii="Calibri" w:hAnsi="Calibri"/>
        </w:rPr>
        <w:t xml:space="preserve"> These schools, known as “feeder schools,” will receive the index score and designation of the school that receives the 2</w:t>
      </w:r>
      <w:r w:rsidRPr="00094333">
        <w:rPr>
          <w:rFonts w:ascii="Calibri" w:hAnsi="Calibri"/>
          <w:vertAlign w:val="superscript"/>
        </w:rPr>
        <w:t>nd</w:t>
      </w:r>
      <w:r w:rsidRPr="00094333">
        <w:rPr>
          <w:rFonts w:ascii="Calibri" w:hAnsi="Calibri"/>
        </w:rPr>
        <w:t xml:space="preserve"> grade students into 3</w:t>
      </w:r>
      <w:r w:rsidRPr="00094333">
        <w:rPr>
          <w:rFonts w:ascii="Calibri" w:hAnsi="Calibri"/>
          <w:vertAlign w:val="superscript"/>
        </w:rPr>
        <w:t>rd</w:t>
      </w:r>
      <w:r w:rsidRPr="00094333">
        <w:rPr>
          <w:rFonts w:ascii="Calibri" w:hAnsi="Calibri"/>
        </w:rPr>
        <w:t xml:space="preserve"> grade.</w:t>
      </w:r>
    </w:p>
    <w:p w14:paraId="2EB433AE" w14:textId="77777777" w:rsidR="00C7105E" w:rsidRDefault="00C7105E" w:rsidP="00A6180D">
      <w:pPr>
        <w:rPr>
          <w:rFonts w:ascii="Calibri" w:hAnsi="Calibri"/>
        </w:rPr>
      </w:pPr>
      <w:r w:rsidRPr="00BC64BB">
        <w:rPr>
          <w:rFonts w:ascii="Calibri" w:hAnsi="Calibri"/>
          <w:u w:val="single"/>
        </w:rPr>
        <w:t>Alternative schools, including Division of Juvenile Justice youth facilities</w:t>
      </w:r>
      <w:r w:rsidRPr="00094333">
        <w:rPr>
          <w:rFonts w:ascii="Calibri" w:hAnsi="Calibri"/>
          <w:u w:val="single"/>
        </w:rPr>
        <w:t xml:space="preserve"> and schools serving incarcerated youth:</w:t>
      </w:r>
      <w:r>
        <w:rPr>
          <w:rFonts w:ascii="Calibri" w:hAnsi="Calibri"/>
        </w:rPr>
        <w:t xml:space="preserve"> </w:t>
      </w:r>
      <w:r w:rsidRPr="00A6799D">
        <w:rPr>
          <w:rFonts w:ascii="Calibri" w:hAnsi="Calibri"/>
        </w:rPr>
        <w:t>Traditional school accountability metrics do not readily lend themselves to measuring the educational and social contributions generated by alternative schools. ESSA’s emphas</w:t>
      </w:r>
      <w:r>
        <w:rPr>
          <w:rFonts w:ascii="Calibri" w:hAnsi="Calibri"/>
        </w:rPr>
        <w:t>e</w:t>
      </w:r>
      <w:r w:rsidRPr="00A6799D">
        <w:rPr>
          <w:rFonts w:ascii="Calibri" w:hAnsi="Calibri"/>
        </w:rPr>
        <w:t>s on well-rounded education, equity, and inclusion of non-academic school quality and student success indicators allow for an opportunity to create an accountability system for alternative schools that more accurately reflects their accomplishments.</w:t>
      </w:r>
    </w:p>
    <w:p w14:paraId="7E36CE6A" w14:textId="77777777" w:rsidR="00C7105E" w:rsidRDefault="00C7105E" w:rsidP="00A6180D">
      <w:pPr>
        <w:rPr>
          <w:rFonts w:ascii="Calibri" w:hAnsi="Calibri"/>
        </w:rPr>
      </w:pPr>
      <w:r>
        <w:rPr>
          <w:rFonts w:ascii="Calibri" w:hAnsi="Calibri"/>
        </w:rPr>
        <w:t>Alaska will work with stakeholders to determine appropriate indicators for a modified accountability system for alternative schools. Alaska’s intention was to report the performance of these schools on the indicators in the accountability system in 2017-2018 without calculating an overall score or designation; however, in its feedback to DEED, the U.S. Department of Education stated that all schools must be included in the system of annual meaningful differentiation. DEED will calculate an index score and determine a designation for alternative schools in the fall of 2018 according to the parameters for all other schools. Any proposed modifications for alternative schools will be submitted in a future amendment to the state’s ESSA plan.</w:t>
      </w:r>
    </w:p>
    <w:p w14:paraId="7CD78C50" w14:textId="34FC09F7" w:rsidR="00C7105E" w:rsidRDefault="00C7105E" w:rsidP="00A6180D">
      <w:pPr>
        <w:rPr>
          <w:rFonts w:ascii="Calibri" w:hAnsi="Calibri"/>
        </w:rPr>
      </w:pPr>
      <w:r>
        <w:rPr>
          <w:rFonts w:ascii="Calibri" w:hAnsi="Calibri"/>
        </w:rPr>
        <w:lastRenderedPageBreak/>
        <w:t>DEED started stakeholder engagement with the Alaska Alternative School Coalition in February 2018. The next step is to convene an advisory group of alternative school principals and other staff to develop quantifiable measures that can be disaggregated and apply to all students. This model mirrors the process facilitated by DEED during the 2013-2014 school year that led to revisions to the Alaska School Performance Index (ASPI) that were very well received.</w:t>
      </w:r>
    </w:p>
    <w:p w14:paraId="2B63DA93" w14:textId="77777777" w:rsidR="007E1296" w:rsidRDefault="007E1296">
      <w:r>
        <w:br w:type="page"/>
      </w:r>
    </w:p>
    <w:p w14:paraId="2385AE8B" w14:textId="77777777" w:rsidR="00C7105E" w:rsidRDefault="00C7105E" w:rsidP="001E1A85">
      <w:pPr>
        <w:ind w:left="1080" w:hanging="360"/>
        <w:rPr>
          <w:rFonts w:ascii="Calibri" w:hAnsi="Calibri"/>
        </w:rPr>
      </w:pPr>
      <w:r w:rsidRPr="00697AC2">
        <w:rPr>
          <w:rFonts w:ascii="Calibri" w:hAnsi="Calibri"/>
        </w:rPr>
        <w:lastRenderedPageBreak/>
        <w:t xml:space="preserve">vi. </w:t>
      </w:r>
      <w:r w:rsidRPr="00F72EC2">
        <w:rPr>
          <w:rFonts w:ascii="Calibri" w:hAnsi="Calibri"/>
          <w:b/>
        </w:rPr>
        <w:t xml:space="preserve">Identification of Schools </w:t>
      </w:r>
      <w:r w:rsidRPr="00697AC2">
        <w:rPr>
          <w:rFonts w:ascii="Calibri" w:hAnsi="Calibri"/>
          <w:i/>
          <w:iCs/>
        </w:rPr>
        <w:t>(ESEA section 1111(c</w:t>
      </w:r>
      <w:proofErr w:type="gramStart"/>
      <w:r w:rsidRPr="00697AC2">
        <w:rPr>
          <w:rFonts w:ascii="Calibri" w:hAnsi="Calibri"/>
          <w:i/>
          <w:iCs/>
        </w:rPr>
        <w:t>)(</w:t>
      </w:r>
      <w:proofErr w:type="gramEnd"/>
      <w:r w:rsidRPr="00697AC2">
        <w:rPr>
          <w:rFonts w:ascii="Calibri" w:hAnsi="Calibri"/>
          <w:i/>
          <w:iCs/>
        </w:rPr>
        <w:t>4)(D))</w:t>
      </w:r>
    </w:p>
    <w:p w14:paraId="5A85E263" w14:textId="18F361AC" w:rsidR="00C7105E" w:rsidRDefault="00C7105E" w:rsidP="0079650F">
      <w:pPr>
        <w:ind w:left="720"/>
        <w:rPr>
          <w:bCs/>
          <w:spacing w:val="-1"/>
        </w:rPr>
      </w:pPr>
      <w:r w:rsidRPr="00F5426B">
        <w:rPr>
          <w:bCs/>
          <w:spacing w:val="-1"/>
        </w:rPr>
        <w:t>In upgrading its school designation system to align with ESSA requirements, Alaska is prioritizing a clear and accessible designation system that accurately identifies a manageable cohort of schools for support and continues to facilitate differentiated support based upon eligible resources. The following charts summarize the entrance and exit criteria for schools identified for Comprehensive Support and Improvement (CSI) and Targeted Support and Improvement (TSI).</w:t>
      </w:r>
    </w:p>
    <w:p w14:paraId="4BF6C319" w14:textId="4FB45AD0" w:rsidR="001E1A85" w:rsidRPr="001E1A85" w:rsidRDefault="001E1A85" w:rsidP="001E1A85">
      <w:pPr>
        <w:rPr>
          <w:rFonts w:ascii="Calibri" w:hAnsi="Calibri"/>
        </w:rPr>
      </w:pPr>
      <w:r w:rsidRPr="001E1A85">
        <w:rPr>
          <w:rFonts w:ascii="Calibri" w:hAnsi="Calibri" w:cs="Calibri"/>
          <w:b/>
          <w:bCs/>
          <w:iCs/>
          <w:spacing w:val="-1"/>
        </w:rPr>
        <w:t>Comprehensive</w:t>
      </w:r>
      <w:r w:rsidRPr="001E1A85">
        <w:rPr>
          <w:rFonts w:ascii="Calibri" w:hAnsi="Calibri" w:cs="Calibri"/>
          <w:b/>
          <w:bCs/>
          <w:iCs/>
          <w:spacing w:val="-3"/>
        </w:rPr>
        <w:t xml:space="preserve"> </w:t>
      </w:r>
      <w:r w:rsidRPr="001E1A85">
        <w:rPr>
          <w:rFonts w:ascii="Calibri" w:hAnsi="Calibri" w:cs="Calibri"/>
          <w:b/>
          <w:bCs/>
          <w:iCs/>
          <w:spacing w:val="-1"/>
        </w:rPr>
        <w:t>Support</w:t>
      </w:r>
      <w:r w:rsidRPr="001E1A85">
        <w:rPr>
          <w:rFonts w:ascii="Calibri" w:hAnsi="Calibri" w:cs="Calibri"/>
          <w:b/>
          <w:bCs/>
          <w:iCs/>
          <w:spacing w:val="-2"/>
        </w:rPr>
        <w:t xml:space="preserve"> </w:t>
      </w:r>
      <w:r w:rsidRPr="001E1A85">
        <w:rPr>
          <w:rFonts w:ascii="Calibri" w:hAnsi="Calibri" w:cs="Calibri"/>
          <w:b/>
          <w:bCs/>
          <w:iCs/>
          <w:spacing w:val="-1"/>
        </w:rPr>
        <w:t>and</w:t>
      </w:r>
      <w:r w:rsidRPr="001E1A85">
        <w:rPr>
          <w:rFonts w:ascii="Calibri" w:hAnsi="Calibri" w:cs="Calibri"/>
          <w:b/>
          <w:bCs/>
          <w:iCs/>
          <w:spacing w:val="1"/>
        </w:rPr>
        <w:t xml:space="preserve"> </w:t>
      </w:r>
      <w:r w:rsidRPr="001E1A85">
        <w:rPr>
          <w:rFonts w:ascii="Calibri" w:hAnsi="Calibri" w:cs="Calibri"/>
          <w:b/>
          <w:bCs/>
          <w:iCs/>
          <w:spacing w:val="-1"/>
        </w:rPr>
        <w:t>Improvement</w:t>
      </w:r>
      <w:r w:rsidRPr="001E1A85">
        <w:rPr>
          <w:rFonts w:ascii="Calibri" w:hAnsi="Calibri" w:cs="Calibri"/>
          <w:b/>
          <w:bCs/>
          <w:iCs/>
          <w:spacing w:val="-2"/>
        </w:rPr>
        <w:t xml:space="preserve"> </w:t>
      </w:r>
      <w:r w:rsidRPr="001E1A85">
        <w:rPr>
          <w:rFonts w:ascii="Calibri" w:hAnsi="Calibri" w:cs="Calibri"/>
          <w:b/>
          <w:bCs/>
          <w:iCs/>
          <w:spacing w:val="-1"/>
        </w:rPr>
        <w:t>(CSI)</w:t>
      </w:r>
    </w:p>
    <w:tbl>
      <w:tblPr>
        <w:tblW w:w="9175" w:type="dxa"/>
        <w:jc w:val="center"/>
        <w:tblBorders>
          <w:top w:val="single" w:sz="4" w:space="0" w:color="auto"/>
          <w:left w:val="single" w:sz="4" w:space="0" w:color="auto"/>
          <w:bottom w:val="single" w:sz="4" w:space="0" w:color="auto"/>
          <w:right w:val="single" w:sz="4" w:space="0" w:color="auto"/>
          <w:insideH w:val="single" w:sz="4" w:space="0" w:color="BEBEBE"/>
          <w:insideV w:val="single" w:sz="4" w:space="0" w:color="BEBEBE"/>
        </w:tblBorders>
        <w:tblLayout w:type="fixed"/>
        <w:tblCellMar>
          <w:left w:w="0" w:type="dxa"/>
          <w:right w:w="0" w:type="dxa"/>
        </w:tblCellMar>
        <w:tblLook w:val="0000" w:firstRow="0" w:lastRow="0" w:firstColumn="0" w:lastColumn="0" w:noHBand="0" w:noVBand="0"/>
      </w:tblPr>
      <w:tblGrid>
        <w:gridCol w:w="805"/>
        <w:gridCol w:w="1440"/>
        <w:gridCol w:w="4050"/>
        <w:gridCol w:w="2880"/>
      </w:tblGrid>
      <w:tr w:rsidR="0079650F" w:rsidRPr="00D1216B" w14:paraId="191BA555" w14:textId="77777777" w:rsidTr="001E1A85">
        <w:trPr>
          <w:trHeight w:hRule="exact" w:val="613"/>
          <w:tblHeader/>
          <w:jc w:val="center"/>
        </w:trPr>
        <w:tc>
          <w:tcPr>
            <w:tcW w:w="805" w:type="dxa"/>
            <w:shd w:val="clear" w:color="auto" w:fill="F1F1F1"/>
          </w:tcPr>
          <w:p w14:paraId="2B5362E8" w14:textId="77777777" w:rsidR="0079650F" w:rsidRPr="00B83D1C" w:rsidRDefault="0079650F" w:rsidP="00DF1B63">
            <w:pPr>
              <w:pStyle w:val="TableParagraph"/>
              <w:kinsoku w:val="0"/>
              <w:overflowPunct w:val="0"/>
              <w:spacing w:line="267" w:lineRule="exact"/>
              <w:ind w:left="78"/>
              <w:rPr>
                <w:sz w:val="20"/>
                <w:szCs w:val="20"/>
              </w:rPr>
            </w:pPr>
            <w:r w:rsidRPr="00B83D1C">
              <w:rPr>
                <w:rFonts w:ascii="Calibri" w:hAnsi="Calibri" w:cs="Calibri"/>
                <w:b/>
                <w:bCs/>
                <w:spacing w:val="-1"/>
                <w:sz w:val="20"/>
                <w:szCs w:val="20"/>
              </w:rPr>
              <w:t>Criteria</w:t>
            </w:r>
            <w:r w:rsidRPr="00B83D1C">
              <w:rPr>
                <w:rFonts w:ascii="Calibri" w:hAnsi="Calibri" w:cs="Calibri"/>
                <w:b/>
                <w:bCs/>
                <w:spacing w:val="-3"/>
                <w:sz w:val="20"/>
                <w:szCs w:val="20"/>
              </w:rPr>
              <w:t xml:space="preserve"> </w:t>
            </w:r>
            <w:r w:rsidRPr="00B83D1C">
              <w:rPr>
                <w:rFonts w:ascii="Calibri" w:hAnsi="Calibri" w:cs="Calibri"/>
                <w:b/>
                <w:bCs/>
                <w:sz w:val="20"/>
                <w:szCs w:val="20"/>
              </w:rPr>
              <w:t>#</w:t>
            </w:r>
          </w:p>
        </w:tc>
        <w:tc>
          <w:tcPr>
            <w:tcW w:w="1440" w:type="dxa"/>
            <w:shd w:val="clear" w:color="auto" w:fill="F1F1F1"/>
          </w:tcPr>
          <w:p w14:paraId="39063B7E" w14:textId="77777777" w:rsidR="0079650F" w:rsidRPr="00B83D1C" w:rsidRDefault="0079650F" w:rsidP="00DF1B63">
            <w:pPr>
              <w:pStyle w:val="TableParagraph"/>
              <w:kinsoku w:val="0"/>
              <w:overflowPunct w:val="0"/>
              <w:spacing w:line="267" w:lineRule="exact"/>
              <w:ind w:left="70"/>
              <w:rPr>
                <w:b/>
                <w:sz w:val="20"/>
                <w:szCs w:val="20"/>
              </w:rPr>
            </w:pPr>
            <w:r w:rsidRPr="00B83D1C">
              <w:rPr>
                <w:rFonts w:ascii="Calibri" w:hAnsi="Calibri" w:cs="Calibri"/>
                <w:b/>
                <w:spacing w:val="-1"/>
                <w:sz w:val="20"/>
                <w:szCs w:val="20"/>
              </w:rPr>
              <w:t>Criteria Category</w:t>
            </w:r>
          </w:p>
        </w:tc>
        <w:tc>
          <w:tcPr>
            <w:tcW w:w="4050" w:type="dxa"/>
            <w:shd w:val="clear" w:color="auto" w:fill="F1F1F1"/>
          </w:tcPr>
          <w:p w14:paraId="3F25291D" w14:textId="77777777" w:rsidR="0079650F" w:rsidRPr="00B83D1C" w:rsidRDefault="0079650F" w:rsidP="00DF1B63">
            <w:pPr>
              <w:pStyle w:val="TableParagraph"/>
              <w:kinsoku w:val="0"/>
              <w:overflowPunct w:val="0"/>
              <w:spacing w:line="267" w:lineRule="exact"/>
              <w:ind w:left="70"/>
              <w:rPr>
                <w:b/>
                <w:sz w:val="20"/>
                <w:szCs w:val="20"/>
              </w:rPr>
            </w:pPr>
            <w:r w:rsidRPr="00B83D1C">
              <w:rPr>
                <w:rFonts w:ascii="Calibri" w:hAnsi="Calibri" w:cs="Calibri"/>
                <w:b/>
                <w:spacing w:val="-1"/>
                <w:sz w:val="20"/>
                <w:szCs w:val="20"/>
              </w:rPr>
              <w:t>Entrance</w:t>
            </w:r>
            <w:r w:rsidRPr="00B83D1C">
              <w:rPr>
                <w:rFonts w:ascii="Calibri" w:hAnsi="Calibri" w:cs="Calibri"/>
                <w:b/>
                <w:spacing w:val="1"/>
                <w:sz w:val="20"/>
                <w:szCs w:val="20"/>
              </w:rPr>
              <w:t xml:space="preserve"> </w:t>
            </w:r>
            <w:r w:rsidRPr="00B83D1C">
              <w:rPr>
                <w:rFonts w:ascii="Calibri" w:hAnsi="Calibri" w:cs="Calibri"/>
                <w:b/>
                <w:spacing w:val="-1"/>
                <w:sz w:val="20"/>
                <w:szCs w:val="20"/>
              </w:rPr>
              <w:t>Conditions</w:t>
            </w:r>
          </w:p>
        </w:tc>
        <w:tc>
          <w:tcPr>
            <w:tcW w:w="2880" w:type="dxa"/>
            <w:shd w:val="clear" w:color="auto" w:fill="F1F1F1"/>
          </w:tcPr>
          <w:p w14:paraId="0FA71D4C" w14:textId="77777777" w:rsidR="0079650F" w:rsidRPr="00B83D1C" w:rsidRDefault="0079650F" w:rsidP="00DF1B63">
            <w:pPr>
              <w:pStyle w:val="TableParagraph"/>
              <w:kinsoku w:val="0"/>
              <w:overflowPunct w:val="0"/>
              <w:spacing w:line="267" w:lineRule="exact"/>
              <w:ind w:left="70"/>
              <w:rPr>
                <w:b/>
                <w:sz w:val="20"/>
                <w:szCs w:val="20"/>
              </w:rPr>
            </w:pPr>
            <w:r w:rsidRPr="00B83D1C">
              <w:rPr>
                <w:rFonts w:ascii="Calibri" w:hAnsi="Calibri" w:cs="Calibri"/>
                <w:b/>
                <w:spacing w:val="-1"/>
                <w:sz w:val="20"/>
                <w:szCs w:val="20"/>
              </w:rPr>
              <w:t>Exit</w:t>
            </w:r>
            <w:r w:rsidRPr="00B83D1C">
              <w:rPr>
                <w:rFonts w:ascii="Calibri" w:hAnsi="Calibri" w:cs="Calibri"/>
                <w:b/>
                <w:sz w:val="20"/>
                <w:szCs w:val="20"/>
              </w:rPr>
              <w:t xml:space="preserve"> </w:t>
            </w:r>
            <w:r w:rsidRPr="00B83D1C">
              <w:rPr>
                <w:rFonts w:ascii="Calibri" w:hAnsi="Calibri" w:cs="Calibri"/>
                <w:b/>
                <w:spacing w:val="-1"/>
                <w:sz w:val="20"/>
                <w:szCs w:val="20"/>
              </w:rPr>
              <w:t>Conditions</w:t>
            </w:r>
          </w:p>
        </w:tc>
      </w:tr>
      <w:tr w:rsidR="0079650F" w:rsidRPr="00D1216B" w14:paraId="493EE8FD" w14:textId="77777777" w:rsidTr="001E1A85">
        <w:trPr>
          <w:trHeight w:hRule="exact" w:val="4032"/>
          <w:jc w:val="center"/>
        </w:trPr>
        <w:tc>
          <w:tcPr>
            <w:tcW w:w="805" w:type="dxa"/>
          </w:tcPr>
          <w:p w14:paraId="54A2749C" w14:textId="77777777" w:rsidR="0079650F" w:rsidRPr="003D4782" w:rsidRDefault="0079650F" w:rsidP="00DF1B63">
            <w:pPr>
              <w:pStyle w:val="TableParagraph"/>
              <w:kinsoku w:val="0"/>
              <w:overflowPunct w:val="0"/>
              <w:spacing w:line="267" w:lineRule="exact"/>
              <w:jc w:val="center"/>
              <w:rPr>
                <w:sz w:val="20"/>
                <w:szCs w:val="20"/>
              </w:rPr>
            </w:pPr>
            <w:r w:rsidRPr="003D4782">
              <w:rPr>
                <w:rFonts w:ascii="Calibri" w:hAnsi="Calibri" w:cs="Calibri"/>
                <w:b/>
                <w:bCs/>
                <w:sz w:val="20"/>
                <w:szCs w:val="20"/>
              </w:rPr>
              <w:t>1</w:t>
            </w:r>
          </w:p>
        </w:tc>
        <w:tc>
          <w:tcPr>
            <w:tcW w:w="1440" w:type="dxa"/>
          </w:tcPr>
          <w:p w14:paraId="7760707E" w14:textId="77777777" w:rsidR="0079650F" w:rsidRPr="003D4782" w:rsidRDefault="0079650F" w:rsidP="00DF1B63">
            <w:pPr>
              <w:pStyle w:val="TableParagraph"/>
              <w:kinsoku w:val="0"/>
              <w:overflowPunct w:val="0"/>
              <w:spacing w:line="267" w:lineRule="exact"/>
              <w:ind w:left="70"/>
              <w:rPr>
                <w:sz w:val="20"/>
                <w:szCs w:val="20"/>
              </w:rPr>
            </w:pPr>
            <w:r w:rsidRPr="003D4782">
              <w:rPr>
                <w:rFonts w:ascii="Calibri" w:hAnsi="Calibri" w:cs="Calibri"/>
                <w:spacing w:val="-1"/>
                <w:sz w:val="20"/>
                <w:szCs w:val="20"/>
              </w:rPr>
              <w:t>Lowest</w:t>
            </w:r>
            <w:r w:rsidRPr="003D4782">
              <w:rPr>
                <w:rFonts w:ascii="Calibri" w:hAnsi="Calibri" w:cs="Calibri"/>
                <w:spacing w:val="-2"/>
                <w:sz w:val="20"/>
                <w:szCs w:val="20"/>
              </w:rPr>
              <w:t xml:space="preserve"> </w:t>
            </w:r>
            <w:r w:rsidRPr="003D4782">
              <w:rPr>
                <w:rFonts w:ascii="Calibri" w:hAnsi="Calibri" w:cs="Calibri"/>
                <w:spacing w:val="-1"/>
                <w:sz w:val="20"/>
                <w:szCs w:val="20"/>
              </w:rPr>
              <w:t>5%</w:t>
            </w:r>
          </w:p>
        </w:tc>
        <w:tc>
          <w:tcPr>
            <w:tcW w:w="4050" w:type="dxa"/>
          </w:tcPr>
          <w:p w14:paraId="49C87A39" w14:textId="77777777" w:rsidR="0079650F" w:rsidRPr="003D4782" w:rsidRDefault="0079650F" w:rsidP="00DF1B63">
            <w:pPr>
              <w:pStyle w:val="TableParagraph"/>
              <w:kinsoku w:val="0"/>
              <w:overflowPunct w:val="0"/>
              <w:spacing w:line="267" w:lineRule="exact"/>
              <w:ind w:left="70"/>
              <w:rPr>
                <w:rFonts w:ascii="Calibri" w:hAnsi="Calibri" w:cs="Calibri"/>
                <w:sz w:val="20"/>
                <w:szCs w:val="20"/>
              </w:rPr>
            </w:pPr>
            <w:r w:rsidRPr="003D4782">
              <w:rPr>
                <w:rFonts w:ascii="Calibri" w:hAnsi="Calibri" w:cs="Calibri"/>
                <w:b/>
                <w:bCs/>
                <w:spacing w:val="-1"/>
                <w:sz w:val="20"/>
                <w:szCs w:val="20"/>
              </w:rPr>
              <w:t xml:space="preserve">Title </w:t>
            </w:r>
            <w:r w:rsidRPr="003D4782">
              <w:rPr>
                <w:rFonts w:ascii="Calibri" w:hAnsi="Calibri" w:cs="Calibri"/>
                <w:b/>
                <w:bCs/>
                <w:sz w:val="20"/>
                <w:szCs w:val="20"/>
              </w:rPr>
              <w:t>I</w:t>
            </w:r>
            <w:r w:rsidRPr="003D4782">
              <w:rPr>
                <w:rFonts w:ascii="Calibri" w:hAnsi="Calibri" w:cs="Calibri"/>
                <w:b/>
                <w:bCs/>
                <w:spacing w:val="-1"/>
                <w:sz w:val="20"/>
                <w:szCs w:val="20"/>
              </w:rPr>
              <w:t xml:space="preserve"> Schools</w:t>
            </w:r>
            <w:r w:rsidRPr="003D4782">
              <w:rPr>
                <w:rFonts w:ascii="Calibri" w:hAnsi="Calibri" w:cs="Calibri"/>
                <w:b/>
                <w:bCs/>
                <w:sz w:val="20"/>
                <w:szCs w:val="20"/>
              </w:rPr>
              <w:t xml:space="preserve"> </w:t>
            </w:r>
            <w:r w:rsidRPr="003D4782">
              <w:rPr>
                <w:rFonts w:ascii="Calibri" w:hAnsi="Calibri" w:cs="Calibri"/>
                <w:b/>
                <w:bCs/>
                <w:spacing w:val="-1"/>
                <w:sz w:val="20"/>
                <w:szCs w:val="20"/>
              </w:rPr>
              <w:t>Only:</w:t>
            </w:r>
          </w:p>
          <w:p w14:paraId="2B05BEA4" w14:textId="61702A94" w:rsidR="006D253D" w:rsidRPr="003D4782" w:rsidRDefault="0079650F" w:rsidP="001E1A85">
            <w:pPr>
              <w:pStyle w:val="TableParagraph"/>
              <w:kinsoku w:val="0"/>
              <w:overflowPunct w:val="0"/>
              <w:ind w:left="70" w:right="96"/>
              <w:rPr>
                <w:sz w:val="20"/>
                <w:szCs w:val="20"/>
              </w:rPr>
            </w:pPr>
            <w:r w:rsidRPr="003D4782">
              <w:rPr>
                <w:rFonts w:ascii="Calibri" w:hAnsi="Calibri" w:cs="Calibri"/>
                <w:spacing w:val="-1"/>
                <w:sz w:val="20"/>
                <w:szCs w:val="20"/>
              </w:rPr>
              <w:t>When</w:t>
            </w:r>
            <w:r w:rsidRPr="003D4782">
              <w:rPr>
                <w:rFonts w:ascii="Calibri" w:hAnsi="Calibri" w:cs="Calibri"/>
                <w:sz w:val="20"/>
                <w:szCs w:val="20"/>
              </w:rPr>
              <w:t xml:space="preserve"> </w:t>
            </w:r>
            <w:r w:rsidRPr="003D4782">
              <w:rPr>
                <w:rFonts w:ascii="Calibri" w:hAnsi="Calibri" w:cs="Calibri"/>
                <w:spacing w:val="-1"/>
                <w:sz w:val="20"/>
                <w:szCs w:val="20"/>
              </w:rPr>
              <w:t>ranked</w:t>
            </w:r>
            <w:r w:rsidRPr="003D4782">
              <w:rPr>
                <w:rFonts w:ascii="Calibri" w:hAnsi="Calibri" w:cs="Calibri"/>
                <w:spacing w:val="-3"/>
                <w:sz w:val="20"/>
                <w:szCs w:val="20"/>
              </w:rPr>
              <w:t xml:space="preserve"> annually </w:t>
            </w:r>
            <w:r w:rsidRPr="003D4782">
              <w:rPr>
                <w:rFonts w:ascii="Calibri" w:hAnsi="Calibri" w:cs="Calibri"/>
                <w:spacing w:val="-1"/>
                <w:sz w:val="20"/>
                <w:szCs w:val="20"/>
              </w:rPr>
              <w:t xml:space="preserve">according to </w:t>
            </w:r>
            <w:r w:rsidRPr="003D4782">
              <w:rPr>
                <w:rFonts w:ascii="Calibri" w:hAnsi="Calibri" w:cs="Calibri"/>
                <w:sz w:val="20"/>
                <w:szCs w:val="20"/>
              </w:rPr>
              <w:t>their accountability index value</w:t>
            </w:r>
            <w:r w:rsidRPr="003D4782">
              <w:rPr>
                <w:rFonts w:ascii="Calibri" w:hAnsi="Calibri" w:cs="Calibri"/>
                <w:spacing w:val="-1"/>
                <w:sz w:val="20"/>
                <w:szCs w:val="20"/>
              </w:rPr>
              <w:t>,</w:t>
            </w:r>
            <w:r w:rsidRPr="003D4782">
              <w:rPr>
                <w:rFonts w:ascii="Calibri" w:hAnsi="Calibri" w:cs="Calibri"/>
                <w:sz w:val="20"/>
                <w:szCs w:val="20"/>
              </w:rPr>
              <w:t xml:space="preserve"> </w:t>
            </w:r>
            <w:r w:rsidRPr="003D4782">
              <w:rPr>
                <w:rFonts w:ascii="Calibri" w:hAnsi="Calibri" w:cs="Calibri"/>
                <w:spacing w:val="-1"/>
                <w:sz w:val="20"/>
                <w:szCs w:val="20"/>
              </w:rPr>
              <w:t>the</w:t>
            </w:r>
            <w:r w:rsidRPr="003D4782">
              <w:rPr>
                <w:rFonts w:ascii="Calibri" w:hAnsi="Calibri" w:cs="Calibri"/>
                <w:spacing w:val="29"/>
                <w:sz w:val="20"/>
                <w:szCs w:val="20"/>
              </w:rPr>
              <w:t xml:space="preserve"> </w:t>
            </w:r>
            <w:r w:rsidRPr="003D4782">
              <w:rPr>
                <w:rFonts w:ascii="Calibri" w:hAnsi="Calibri" w:cs="Calibri"/>
                <w:spacing w:val="-1"/>
                <w:sz w:val="20"/>
                <w:szCs w:val="20"/>
              </w:rPr>
              <w:t>lowest</w:t>
            </w:r>
            <w:r w:rsidRPr="003D4782">
              <w:rPr>
                <w:rFonts w:ascii="Calibri" w:hAnsi="Calibri" w:cs="Calibri"/>
                <w:spacing w:val="1"/>
                <w:sz w:val="20"/>
                <w:szCs w:val="20"/>
              </w:rPr>
              <w:t xml:space="preserve"> </w:t>
            </w:r>
            <w:r w:rsidRPr="003D4782">
              <w:rPr>
                <w:rFonts w:ascii="Calibri" w:hAnsi="Calibri" w:cs="Calibri"/>
                <w:spacing w:val="-1"/>
                <w:sz w:val="20"/>
                <w:szCs w:val="20"/>
              </w:rPr>
              <w:t>performing schools</w:t>
            </w:r>
            <w:r w:rsidRPr="003D4782">
              <w:rPr>
                <w:rFonts w:ascii="Calibri" w:hAnsi="Calibri" w:cs="Calibri"/>
                <w:spacing w:val="-5"/>
                <w:sz w:val="20"/>
                <w:szCs w:val="20"/>
              </w:rPr>
              <w:t xml:space="preserve"> </w:t>
            </w:r>
            <w:r w:rsidRPr="003D4782">
              <w:rPr>
                <w:rFonts w:ascii="Calibri" w:hAnsi="Calibri" w:cs="Calibri"/>
                <w:sz w:val="20"/>
                <w:szCs w:val="20"/>
              </w:rPr>
              <w:t xml:space="preserve">that </w:t>
            </w:r>
            <w:r w:rsidRPr="003D4782">
              <w:rPr>
                <w:rFonts w:ascii="Calibri" w:hAnsi="Calibri" w:cs="Calibri"/>
                <w:spacing w:val="-1"/>
                <w:sz w:val="20"/>
                <w:szCs w:val="20"/>
              </w:rPr>
              <w:t>represent</w:t>
            </w:r>
            <w:r w:rsidRPr="003D4782">
              <w:rPr>
                <w:rFonts w:ascii="Calibri" w:hAnsi="Calibri" w:cs="Calibri"/>
                <w:spacing w:val="20"/>
                <w:sz w:val="20"/>
                <w:szCs w:val="20"/>
              </w:rPr>
              <w:t xml:space="preserve"> </w:t>
            </w:r>
            <w:r w:rsidRPr="003D4782">
              <w:rPr>
                <w:rFonts w:ascii="Calibri" w:hAnsi="Calibri" w:cs="Calibri"/>
                <w:sz w:val="20"/>
                <w:szCs w:val="20"/>
              </w:rPr>
              <w:t>5%</w:t>
            </w:r>
            <w:r w:rsidRPr="003D4782">
              <w:rPr>
                <w:rFonts w:ascii="Calibri" w:hAnsi="Calibri" w:cs="Calibri"/>
                <w:spacing w:val="-2"/>
                <w:sz w:val="20"/>
                <w:szCs w:val="20"/>
              </w:rPr>
              <w:t xml:space="preserve"> </w:t>
            </w:r>
            <w:r w:rsidRPr="003D4782">
              <w:rPr>
                <w:rFonts w:ascii="Calibri" w:hAnsi="Calibri" w:cs="Calibri"/>
                <w:sz w:val="20"/>
                <w:szCs w:val="20"/>
              </w:rPr>
              <w:t>of all</w:t>
            </w:r>
            <w:r w:rsidRPr="003D4782">
              <w:rPr>
                <w:rFonts w:ascii="Calibri" w:hAnsi="Calibri" w:cs="Calibri"/>
                <w:spacing w:val="-2"/>
                <w:sz w:val="20"/>
                <w:szCs w:val="20"/>
              </w:rPr>
              <w:t xml:space="preserve"> Title I </w:t>
            </w:r>
            <w:r w:rsidRPr="003D4782">
              <w:rPr>
                <w:rFonts w:ascii="Calibri" w:hAnsi="Calibri" w:cs="Calibri"/>
                <w:spacing w:val="-1"/>
                <w:sz w:val="20"/>
                <w:szCs w:val="20"/>
              </w:rPr>
              <w:t>schools</w:t>
            </w:r>
            <w:r w:rsidRPr="003D4782">
              <w:rPr>
                <w:rFonts w:ascii="Calibri" w:hAnsi="Calibri" w:cs="Calibri"/>
                <w:spacing w:val="-3"/>
                <w:sz w:val="20"/>
                <w:szCs w:val="20"/>
              </w:rPr>
              <w:t xml:space="preserve"> </w:t>
            </w:r>
            <w:r w:rsidRPr="003D4782">
              <w:rPr>
                <w:rFonts w:ascii="Calibri" w:hAnsi="Calibri" w:cs="Calibri"/>
                <w:spacing w:val="-1"/>
                <w:sz w:val="20"/>
                <w:szCs w:val="20"/>
              </w:rPr>
              <w:t>are identified as CSI schools. CSI schools will be identified annually based on this criteria. The accountability index value of the highest performing Title I CSI school in this category will determine the Lowest Performance Threshold and will be determined annually.</w:t>
            </w:r>
          </w:p>
        </w:tc>
        <w:tc>
          <w:tcPr>
            <w:tcW w:w="2880" w:type="dxa"/>
          </w:tcPr>
          <w:p w14:paraId="166F5C91" w14:textId="5BFD75D8" w:rsidR="0079650F" w:rsidRPr="00907C7C" w:rsidRDefault="00907C7C" w:rsidP="00DF1B63">
            <w:pPr>
              <w:pStyle w:val="TableParagraph"/>
              <w:kinsoku w:val="0"/>
              <w:overflowPunct w:val="0"/>
              <w:ind w:left="70" w:right="95"/>
              <w:rPr>
                <w:rFonts w:asciiTheme="minorHAnsi" w:hAnsiTheme="minorHAnsi"/>
                <w:sz w:val="20"/>
                <w:szCs w:val="20"/>
              </w:rPr>
            </w:pPr>
            <w:r w:rsidRPr="00907C7C">
              <w:rPr>
                <w:rFonts w:asciiTheme="minorHAnsi" w:hAnsiTheme="minorHAnsi" w:cs="Calibri"/>
                <w:sz w:val="20"/>
                <w:szCs w:val="20"/>
              </w:rPr>
              <w:t xml:space="preserve">A CSI </w:t>
            </w:r>
            <w:r w:rsidRPr="00907C7C">
              <w:rPr>
                <w:rFonts w:asciiTheme="minorHAnsi" w:hAnsiTheme="minorHAnsi" w:cs="Calibri"/>
                <w:spacing w:val="-1"/>
                <w:sz w:val="20"/>
                <w:szCs w:val="20"/>
              </w:rPr>
              <w:t>school</w:t>
            </w:r>
            <w:r w:rsidRPr="00907C7C">
              <w:rPr>
                <w:rFonts w:asciiTheme="minorHAnsi" w:hAnsiTheme="minorHAnsi" w:cs="Calibri"/>
                <w:spacing w:val="-2"/>
                <w:sz w:val="20"/>
                <w:szCs w:val="20"/>
              </w:rPr>
              <w:t xml:space="preserve"> designated under Criteria 1 </w:t>
            </w:r>
            <w:r w:rsidRPr="00907C7C">
              <w:rPr>
                <w:rFonts w:asciiTheme="minorHAnsi" w:hAnsiTheme="minorHAnsi" w:cs="Calibri"/>
                <w:sz w:val="20"/>
                <w:szCs w:val="20"/>
              </w:rPr>
              <w:t>may</w:t>
            </w:r>
            <w:r w:rsidRPr="00907C7C">
              <w:rPr>
                <w:rFonts w:asciiTheme="minorHAnsi" w:hAnsiTheme="minorHAnsi" w:cs="Calibri"/>
                <w:spacing w:val="-2"/>
                <w:sz w:val="20"/>
                <w:szCs w:val="20"/>
              </w:rPr>
              <w:t xml:space="preserve"> </w:t>
            </w:r>
            <w:r w:rsidRPr="00907C7C">
              <w:rPr>
                <w:rFonts w:asciiTheme="minorHAnsi" w:hAnsiTheme="minorHAnsi" w:cs="Calibri"/>
                <w:spacing w:val="-1"/>
                <w:sz w:val="20"/>
                <w:szCs w:val="20"/>
              </w:rPr>
              <w:t>exit after three years</w:t>
            </w:r>
            <w:r w:rsidRPr="00907C7C">
              <w:rPr>
                <w:rFonts w:asciiTheme="minorHAnsi" w:hAnsiTheme="minorHAnsi" w:cs="Calibri"/>
                <w:sz w:val="20"/>
                <w:szCs w:val="20"/>
              </w:rPr>
              <w:t xml:space="preserve"> if </w:t>
            </w:r>
            <w:r w:rsidRPr="00907C7C">
              <w:rPr>
                <w:rFonts w:asciiTheme="minorHAnsi" w:hAnsiTheme="minorHAnsi" w:cs="Calibri"/>
                <w:spacing w:val="-1"/>
                <w:sz w:val="20"/>
                <w:szCs w:val="20"/>
              </w:rPr>
              <w:t>the</w:t>
            </w:r>
            <w:r w:rsidRPr="00907C7C">
              <w:rPr>
                <w:rFonts w:asciiTheme="minorHAnsi" w:hAnsiTheme="minorHAnsi" w:cs="Calibri"/>
                <w:sz w:val="20"/>
                <w:szCs w:val="20"/>
              </w:rPr>
              <w:t xml:space="preserve"> </w:t>
            </w:r>
            <w:r w:rsidRPr="00907C7C">
              <w:rPr>
                <w:rFonts w:asciiTheme="minorHAnsi" w:hAnsiTheme="minorHAnsi" w:cs="Calibri"/>
                <w:spacing w:val="-1"/>
                <w:sz w:val="20"/>
                <w:szCs w:val="20"/>
              </w:rPr>
              <w:t>school</w:t>
            </w:r>
            <w:r w:rsidRPr="00907C7C">
              <w:rPr>
                <w:rFonts w:asciiTheme="minorHAnsi" w:hAnsiTheme="minorHAnsi" w:cs="Calibri"/>
                <w:sz w:val="20"/>
                <w:szCs w:val="20"/>
              </w:rPr>
              <w:t xml:space="preserve"> no longer meets the lowest 5% entrance criteria and if the school’s accountability index score has improved since the CSI designation. A school may also exit CSI if it meets the school’s long term goal or</w:t>
            </w:r>
            <w:r w:rsidRPr="00907C7C">
              <w:rPr>
                <w:rFonts w:asciiTheme="minorHAnsi" w:hAnsiTheme="minorHAnsi" w:cs="Calibri"/>
              </w:rPr>
              <w:t xml:space="preserve"> </w:t>
            </w:r>
            <w:r w:rsidRPr="00907C7C">
              <w:rPr>
                <w:rFonts w:asciiTheme="minorHAnsi" w:hAnsiTheme="minorHAnsi" w:cs="Calibri"/>
                <w:sz w:val="20"/>
                <w:szCs w:val="20"/>
              </w:rPr>
              <w:t>measures of interim progress for the all students’ group in academic achievement in</w:t>
            </w:r>
            <w:r w:rsidRPr="00907C7C">
              <w:rPr>
                <w:rFonts w:asciiTheme="minorHAnsi" w:hAnsiTheme="minorHAnsi" w:cs="Calibri"/>
              </w:rPr>
              <w:t xml:space="preserve"> </w:t>
            </w:r>
            <w:r w:rsidRPr="00907C7C">
              <w:rPr>
                <w:rFonts w:asciiTheme="minorHAnsi" w:hAnsiTheme="minorHAnsi" w:cs="Calibri"/>
                <w:sz w:val="20"/>
                <w:szCs w:val="20"/>
              </w:rPr>
              <w:t>ELA and Mathematics, 4-year graduation rate, and EL progress (as applicable)</w:t>
            </w:r>
            <w:r w:rsidRPr="00907C7C">
              <w:rPr>
                <w:rFonts w:asciiTheme="minorHAnsi" w:hAnsiTheme="minorHAnsi"/>
                <w:sz w:val="20"/>
                <w:szCs w:val="20"/>
              </w:rPr>
              <w:t>.</w:t>
            </w:r>
            <w:r w:rsidR="0079650F" w:rsidRPr="00907C7C">
              <w:rPr>
                <w:rFonts w:asciiTheme="minorHAnsi" w:hAnsiTheme="minorHAnsi"/>
                <w:sz w:val="20"/>
                <w:szCs w:val="20"/>
              </w:rPr>
              <w:t xml:space="preserve"> </w:t>
            </w:r>
          </w:p>
        </w:tc>
      </w:tr>
      <w:tr w:rsidR="0079650F" w:rsidRPr="00D1216B" w14:paraId="0085A4A4" w14:textId="77777777" w:rsidTr="00C13745">
        <w:trPr>
          <w:trHeight w:val="1601"/>
          <w:jc w:val="center"/>
        </w:trPr>
        <w:tc>
          <w:tcPr>
            <w:tcW w:w="805" w:type="dxa"/>
            <w:shd w:val="clear" w:color="auto" w:fill="F1F1F1"/>
          </w:tcPr>
          <w:p w14:paraId="0D7D023D" w14:textId="77777777" w:rsidR="0079650F" w:rsidRPr="003D4782" w:rsidRDefault="0079650F" w:rsidP="00DF1B63">
            <w:pPr>
              <w:pStyle w:val="TableParagraph"/>
              <w:kinsoku w:val="0"/>
              <w:overflowPunct w:val="0"/>
              <w:spacing w:line="267" w:lineRule="exact"/>
              <w:jc w:val="center"/>
              <w:rPr>
                <w:sz w:val="20"/>
                <w:szCs w:val="20"/>
              </w:rPr>
            </w:pPr>
            <w:r w:rsidRPr="003D4782">
              <w:rPr>
                <w:rFonts w:ascii="Calibri" w:hAnsi="Calibri" w:cs="Calibri"/>
                <w:b/>
                <w:bCs/>
                <w:sz w:val="20"/>
                <w:szCs w:val="20"/>
              </w:rPr>
              <w:t>2</w:t>
            </w:r>
          </w:p>
        </w:tc>
        <w:tc>
          <w:tcPr>
            <w:tcW w:w="1440" w:type="dxa"/>
            <w:shd w:val="clear" w:color="auto" w:fill="F1F1F1"/>
          </w:tcPr>
          <w:p w14:paraId="0FCB86D9" w14:textId="77777777" w:rsidR="0079650F" w:rsidRPr="003D4782" w:rsidRDefault="0079650F" w:rsidP="00DF1B63">
            <w:pPr>
              <w:pStyle w:val="TableParagraph"/>
              <w:kinsoku w:val="0"/>
              <w:overflowPunct w:val="0"/>
              <w:ind w:left="70" w:right="298"/>
              <w:rPr>
                <w:sz w:val="20"/>
                <w:szCs w:val="20"/>
              </w:rPr>
            </w:pPr>
            <w:r w:rsidRPr="003D4782">
              <w:rPr>
                <w:rFonts w:ascii="Calibri" w:hAnsi="Calibri" w:cs="Calibri"/>
                <w:spacing w:val="-1"/>
                <w:sz w:val="20"/>
                <w:szCs w:val="20"/>
              </w:rPr>
              <w:t>Low</w:t>
            </w:r>
            <w:r w:rsidRPr="003D4782">
              <w:rPr>
                <w:rFonts w:ascii="Calibri" w:hAnsi="Calibri" w:cs="Calibri"/>
                <w:spacing w:val="1"/>
                <w:sz w:val="20"/>
                <w:szCs w:val="20"/>
              </w:rPr>
              <w:t xml:space="preserve"> </w:t>
            </w:r>
            <w:r w:rsidRPr="003D4782">
              <w:rPr>
                <w:rFonts w:ascii="Calibri" w:hAnsi="Calibri" w:cs="Calibri"/>
                <w:spacing w:val="-1"/>
                <w:sz w:val="20"/>
                <w:szCs w:val="20"/>
              </w:rPr>
              <w:t>Graduation</w:t>
            </w:r>
            <w:r w:rsidRPr="003D4782">
              <w:rPr>
                <w:rFonts w:ascii="Calibri" w:hAnsi="Calibri" w:cs="Calibri"/>
                <w:spacing w:val="27"/>
                <w:sz w:val="20"/>
                <w:szCs w:val="20"/>
              </w:rPr>
              <w:t xml:space="preserve"> </w:t>
            </w:r>
            <w:r w:rsidRPr="003D4782">
              <w:rPr>
                <w:rFonts w:ascii="Calibri" w:hAnsi="Calibri" w:cs="Calibri"/>
                <w:sz w:val="20"/>
                <w:szCs w:val="20"/>
              </w:rPr>
              <w:t>Rate</w:t>
            </w:r>
          </w:p>
        </w:tc>
        <w:tc>
          <w:tcPr>
            <w:tcW w:w="4050" w:type="dxa"/>
            <w:shd w:val="clear" w:color="auto" w:fill="F1F1F1"/>
          </w:tcPr>
          <w:p w14:paraId="0E00FE83" w14:textId="77777777" w:rsidR="0079650F" w:rsidRPr="003D4782" w:rsidRDefault="0079650F" w:rsidP="00DF1B63">
            <w:pPr>
              <w:pStyle w:val="TableParagraph"/>
              <w:kinsoku w:val="0"/>
              <w:overflowPunct w:val="0"/>
              <w:spacing w:line="267" w:lineRule="exact"/>
              <w:ind w:left="70"/>
              <w:rPr>
                <w:rFonts w:ascii="Calibri" w:hAnsi="Calibri" w:cs="Calibri"/>
                <w:sz w:val="20"/>
                <w:szCs w:val="20"/>
              </w:rPr>
            </w:pPr>
            <w:r w:rsidRPr="003D4782">
              <w:rPr>
                <w:rFonts w:ascii="Calibri" w:hAnsi="Calibri" w:cs="Calibri"/>
                <w:b/>
                <w:bCs/>
                <w:sz w:val="20"/>
                <w:szCs w:val="20"/>
              </w:rPr>
              <w:t>All</w:t>
            </w:r>
            <w:r w:rsidRPr="003D4782">
              <w:rPr>
                <w:rFonts w:ascii="Calibri" w:hAnsi="Calibri" w:cs="Calibri"/>
                <w:b/>
                <w:bCs/>
                <w:spacing w:val="-2"/>
                <w:sz w:val="20"/>
                <w:szCs w:val="20"/>
              </w:rPr>
              <w:t xml:space="preserve"> </w:t>
            </w:r>
            <w:r w:rsidRPr="003D4782">
              <w:rPr>
                <w:rFonts w:ascii="Calibri" w:hAnsi="Calibri" w:cs="Calibri"/>
                <w:b/>
                <w:bCs/>
                <w:spacing w:val="-1"/>
                <w:sz w:val="20"/>
                <w:szCs w:val="20"/>
              </w:rPr>
              <w:t>High Schools:</w:t>
            </w:r>
          </w:p>
          <w:p w14:paraId="5730AC99" w14:textId="56474544" w:rsidR="0079650F" w:rsidRPr="003D4782" w:rsidRDefault="0079650F" w:rsidP="0079650F">
            <w:pPr>
              <w:pStyle w:val="TableParagraph"/>
              <w:kinsoku w:val="0"/>
              <w:overflowPunct w:val="0"/>
              <w:ind w:left="70" w:right="400"/>
              <w:rPr>
                <w:sz w:val="20"/>
                <w:szCs w:val="20"/>
              </w:rPr>
            </w:pPr>
            <w:r w:rsidRPr="003D4782">
              <w:rPr>
                <w:rFonts w:ascii="Calibri" w:hAnsi="Calibri" w:cs="Calibri"/>
                <w:spacing w:val="-1"/>
                <w:sz w:val="20"/>
                <w:szCs w:val="20"/>
              </w:rPr>
              <w:t>Have</w:t>
            </w:r>
            <w:r w:rsidRPr="003D4782">
              <w:rPr>
                <w:rFonts w:ascii="Calibri" w:hAnsi="Calibri" w:cs="Calibri"/>
                <w:sz w:val="20"/>
                <w:szCs w:val="20"/>
              </w:rPr>
              <w:t xml:space="preserve"> a</w:t>
            </w:r>
            <w:r w:rsidRPr="003D4782">
              <w:rPr>
                <w:rFonts w:ascii="Calibri" w:hAnsi="Calibri" w:cs="Calibri"/>
                <w:spacing w:val="-3"/>
                <w:sz w:val="20"/>
                <w:szCs w:val="20"/>
              </w:rPr>
              <w:t xml:space="preserve"> </w:t>
            </w:r>
            <w:r w:rsidRPr="003D4782">
              <w:rPr>
                <w:rFonts w:ascii="Calibri" w:hAnsi="Calibri" w:cs="Calibri"/>
                <w:spacing w:val="-1"/>
                <w:sz w:val="20"/>
                <w:szCs w:val="20"/>
              </w:rPr>
              <w:t>four-year adjusted</w:t>
            </w:r>
            <w:r w:rsidRPr="003D4782">
              <w:rPr>
                <w:rFonts w:ascii="Calibri" w:hAnsi="Calibri" w:cs="Calibri"/>
                <w:spacing w:val="-3"/>
                <w:sz w:val="20"/>
                <w:szCs w:val="20"/>
              </w:rPr>
              <w:t xml:space="preserve"> </w:t>
            </w:r>
            <w:r w:rsidRPr="003D4782">
              <w:rPr>
                <w:rFonts w:ascii="Calibri" w:hAnsi="Calibri" w:cs="Calibri"/>
                <w:spacing w:val="-1"/>
                <w:sz w:val="20"/>
                <w:szCs w:val="20"/>
              </w:rPr>
              <w:t>cohort</w:t>
            </w:r>
            <w:r w:rsidRPr="003D4782">
              <w:rPr>
                <w:rFonts w:ascii="Calibri" w:hAnsi="Calibri" w:cs="Calibri"/>
                <w:spacing w:val="31"/>
                <w:sz w:val="20"/>
                <w:szCs w:val="20"/>
              </w:rPr>
              <w:t xml:space="preserve"> </w:t>
            </w:r>
            <w:r w:rsidRPr="003D4782">
              <w:rPr>
                <w:rFonts w:ascii="Calibri" w:hAnsi="Calibri" w:cs="Calibri"/>
                <w:spacing w:val="-1"/>
                <w:sz w:val="20"/>
                <w:szCs w:val="20"/>
              </w:rPr>
              <w:t>graduation rate</w:t>
            </w:r>
            <w:r w:rsidRPr="003D4782">
              <w:rPr>
                <w:rFonts w:ascii="Calibri" w:hAnsi="Calibri" w:cs="Calibri"/>
                <w:sz w:val="20"/>
                <w:szCs w:val="20"/>
              </w:rPr>
              <w:t xml:space="preserve"> less</w:t>
            </w:r>
            <w:r w:rsidRPr="003D4782">
              <w:rPr>
                <w:rFonts w:ascii="Calibri" w:hAnsi="Calibri" w:cs="Calibri"/>
                <w:spacing w:val="-3"/>
                <w:sz w:val="20"/>
                <w:szCs w:val="20"/>
              </w:rPr>
              <w:t xml:space="preserve"> </w:t>
            </w:r>
            <w:r w:rsidRPr="003D4782">
              <w:rPr>
                <w:rFonts w:ascii="Calibri" w:hAnsi="Calibri" w:cs="Calibri"/>
                <w:spacing w:val="-1"/>
                <w:sz w:val="20"/>
                <w:szCs w:val="20"/>
              </w:rPr>
              <w:t>than or equal to</w:t>
            </w:r>
            <w:r w:rsidRPr="003D4782">
              <w:rPr>
                <w:rFonts w:ascii="Calibri" w:hAnsi="Calibri" w:cs="Calibri"/>
                <w:spacing w:val="27"/>
                <w:sz w:val="20"/>
                <w:szCs w:val="20"/>
              </w:rPr>
              <w:t xml:space="preserve"> </w:t>
            </w:r>
            <w:r w:rsidRPr="003D4782">
              <w:rPr>
                <w:spacing w:val="-1"/>
                <w:sz w:val="20"/>
                <w:szCs w:val="20"/>
              </w:rPr>
              <w:t xml:space="preserve">66⅔%. </w:t>
            </w:r>
            <w:r w:rsidRPr="003D4782">
              <w:rPr>
                <w:rFonts w:ascii="Calibri" w:hAnsi="Calibri" w:cs="Calibri"/>
                <w:spacing w:val="-1"/>
                <w:sz w:val="20"/>
                <w:szCs w:val="20"/>
              </w:rPr>
              <w:t>Identified annually.</w:t>
            </w:r>
          </w:p>
        </w:tc>
        <w:tc>
          <w:tcPr>
            <w:tcW w:w="2880" w:type="dxa"/>
            <w:shd w:val="clear" w:color="auto" w:fill="F1F1F1"/>
          </w:tcPr>
          <w:p w14:paraId="015A4E97" w14:textId="56E05B1F" w:rsidR="0079650F" w:rsidRPr="003D4782" w:rsidRDefault="0079650F" w:rsidP="001C465B">
            <w:pPr>
              <w:pStyle w:val="TableParagraph"/>
              <w:kinsoku w:val="0"/>
              <w:overflowPunct w:val="0"/>
              <w:ind w:left="70" w:right="360"/>
              <w:rPr>
                <w:sz w:val="20"/>
                <w:szCs w:val="20"/>
              </w:rPr>
            </w:pPr>
            <w:r w:rsidRPr="003D4782">
              <w:rPr>
                <w:rFonts w:ascii="Calibri" w:hAnsi="Calibri" w:cs="Calibri"/>
                <w:sz w:val="20"/>
                <w:szCs w:val="20"/>
              </w:rPr>
              <w:t>A CSI school designated under Criteria 2 may exit after one year if it attains</w:t>
            </w:r>
            <w:r w:rsidRPr="003D4782">
              <w:rPr>
                <w:rFonts w:ascii="Calibri" w:hAnsi="Calibri" w:cs="Calibri"/>
                <w:spacing w:val="-1"/>
                <w:sz w:val="20"/>
                <w:szCs w:val="20"/>
              </w:rPr>
              <w:t xml:space="preserve"> </w:t>
            </w:r>
            <w:r w:rsidRPr="003D4782">
              <w:rPr>
                <w:rFonts w:ascii="Calibri" w:hAnsi="Calibri" w:cs="Calibri"/>
                <w:sz w:val="20"/>
                <w:szCs w:val="20"/>
              </w:rPr>
              <w:t xml:space="preserve">a </w:t>
            </w:r>
            <w:r w:rsidRPr="003D4782">
              <w:rPr>
                <w:rFonts w:ascii="Calibri" w:hAnsi="Calibri" w:cs="Calibri"/>
                <w:spacing w:val="-1"/>
                <w:sz w:val="20"/>
                <w:szCs w:val="20"/>
              </w:rPr>
              <w:t>four-year</w:t>
            </w:r>
            <w:r w:rsidRPr="003D4782">
              <w:rPr>
                <w:rFonts w:ascii="Calibri" w:hAnsi="Calibri" w:cs="Calibri"/>
                <w:sz w:val="20"/>
                <w:szCs w:val="20"/>
              </w:rPr>
              <w:t xml:space="preserve"> </w:t>
            </w:r>
            <w:r w:rsidRPr="003D4782">
              <w:rPr>
                <w:rFonts w:ascii="Calibri" w:hAnsi="Calibri" w:cs="Calibri"/>
                <w:spacing w:val="-1"/>
                <w:sz w:val="20"/>
                <w:szCs w:val="20"/>
              </w:rPr>
              <w:t>adjusted</w:t>
            </w:r>
            <w:r w:rsidRPr="003D4782">
              <w:rPr>
                <w:rFonts w:ascii="Calibri" w:hAnsi="Calibri" w:cs="Calibri"/>
                <w:spacing w:val="-3"/>
                <w:sz w:val="20"/>
                <w:szCs w:val="20"/>
              </w:rPr>
              <w:t xml:space="preserve"> </w:t>
            </w:r>
            <w:r w:rsidRPr="003D4782">
              <w:rPr>
                <w:rFonts w:ascii="Calibri" w:hAnsi="Calibri" w:cs="Calibri"/>
                <w:spacing w:val="-1"/>
                <w:sz w:val="20"/>
                <w:szCs w:val="20"/>
              </w:rPr>
              <w:t>cohort</w:t>
            </w:r>
            <w:r w:rsidRPr="003D4782">
              <w:rPr>
                <w:rFonts w:ascii="Calibri" w:hAnsi="Calibri" w:cs="Calibri"/>
                <w:spacing w:val="21"/>
                <w:sz w:val="20"/>
                <w:szCs w:val="20"/>
              </w:rPr>
              <w:t xml:space="preserve"> </w:t>
            </w:r>
            <w:r w:rsidRPr="003D4782">
              <w:rPr>
                <w:rFonts w:ascii="Calibri" w:hAnsi="Calibri" w:cs="Calibri"/>
                <w:spacing w:val="-1"/>
                <w:sz w:val="20"/>
                <w:szCs w:val="20"/>
              </w:rPr>
              <w:t>graduation rate</w:t>
            </w:r>
            <w:r w:rsidRPr="003D4782">
              <w:rPr>
                <w:rFonts w:ascii="Calibri" w:hAnsi="Calibri" w:cs="Calibri"/>
                <w:sz w:val="20"/>
                <w:szCs w:val="20"/>
              </w:rPr>
              <w:t xml:space="preserve"> </w:t>
            </w:r>
            <w:r w:rsidRPr="003D4782">
              <w:rPr>
                <w:rFonts w:ascii="Calibri" w:hAnsi="Calibri" w:cs="Calibri"/>
                <w:spacing w:val="-1"/>
                <w:sz w:val="20"/>
                <w:szCs w:val="20"/>
              </w:rPr>
              <w:t>greater</w:t>
            </w:r>
            <w:r w:rsidRPr="003D4782">
              <w:rPr>
                <w:rFonts w:ascii="Calibri" w:hAnsi="Calibri" w:cs="Calibri"/>
                <w:sz w:val="20"/>
                <w:szCs w:val="20"/>
              </w:rPr>
              <w:t xml:space="preserve"> </w:t>
            </w:r>
            <w:r w:rsidRPr="003D4782">
              <w:rPr>
                <w:rFonts w:ascii="Calibri" w:hAnsi="Calibri" w:cs="Calibri"/>
                <w:spacing w:val="-1"/>
                <w:sz w:val="20"/>
                <w:szCs w:val="20"/>
              </w:rPr>
              <w:t xml:space="preserve">than </w:t>
            </w:r>
            <w:r w:rsidRPr="003D4782">
              <w:rPr>
                <w:spacing w:val="-1"/>
                <w:sz w:val="20"/>
                <w:szCs w:val="20"/>
              </w:rPr>
              <w:t>66⅔ %.</w:t>
            </w:r>
            <w:r w:rsidRPr="003D4782">
              <w:rPr>
                <w:rFonts w:ascii="Calibri" w:hAnsi="Calibri" w:cs="Calibri"/>
                <w:spacing w:val="-1"/>
                <w:sz w:val="20"/>
                <w:szCs w:val="20"/>
              </w:rPr>
              <w:t xml:space="preserve"> </w:t>
            </w:r>
          </w:p>
        </w:tc>
      </w:tr>
      <w:tr w:rsidR="0079650F" w:rsidRPr="00D1216B" w14:paraId="2D9C4289" w14:textId="77777777" w:rsidTr="001E1A85">
        <w:trPr>
          <w:trHeight w:hRule="exact" w:val="2979"/>
          <w:jc w:val="center"/>
        </w:trPr>
        <w:tc>
          <w:tcPr>
            <w:tcW w:w="805" w:type="dxa"/>
          </w:tcPr>
          <w:p w14:paraId="2209DA62" w14:textId="77777777" w:rsidR="0079650F" w:rsidRPr="003D4782" w:rsidRDefault="0079650F" w:rsidP="00DF1B63">
            <w:pPr>
              <w:pStyle w:val="TableParagraph"/>
              <w:kinsoku w:val="0"/>
              <w:overflowPunct w:val="0"/>
              <w:spacing w:line="267" w:lineRule="exact"/>
              <w:jc w:val="center"/>
              <w:rPr>
                <w:sz w:val="20"/>
                <w:szCs w:val="20"/>
              </w:rPr>
            </w:pPr>
            <w:r w:rsidRPr="003D4782">
              <w:rPr>
                <w:rFonts w:ascii="Calibri" w:hAnsi="Calibri" w:cs="Calibri"/>
                <w:b/>
                <w:bCs/>
                <w:sz w:val="20"/>
                <w:szCs w:val="20"/>
              </w:rPr>
              <w:t>3</w:t>
            </w:r>
          </w:p>
        </w:tc>
        <w:tc>
          <w:tcPr>
            <w:tcW w:w="1440" w:type="dxa"/>
          </w:tcPr>
          <w:p w14:paraId="6F0BA66B" w14:textId="77777777" w:rsidR="0079650F" w:rsidRPr="003D4782" w:rsidRDefault="0079650F" w:rsidP="00DF1B63">
            <w:pPr>
              <w:pStyle w:val="TableParagraph"/>
              <w:kinsoku w:val="0"/>
              <w:overflowPunct w:val="0"/>
              <w:ind w:left="70" w:right="88"/>
              <w:rPr>
                <w:sz w:val="20"/>
                <w:szCs w:val="20"/>
              </w:rPr>
            </w:pPr>
            <w:r w:rsidRPr="003D4782">
              <w:rPr>
                <w:rFonts w:ascii="Calibri" w:hAnsi="Calibri" w:cs="Calibri"/>
                <w:spacing w:val="-1"/>
                <w:sz w:val="20"/>
                <w:szCs w:val="20"/>
              </w:rPr>
              <w:t>TSI</w:t>
            </w:r>
            <w:r w:rsidRPr="003D4782">
              <w:rPr>
                <w:rFonts w:ascii="Calibri" w:hAnsi="Calibri" w:cs="Calibri"/>
                <w:sz w:val="20"/>
                <w:szCs w:val="20"/>
              </w:rPr>
              <w:t xml:space="preserve"> </w:t>
            </w:r>
            <w:r w:rsidRPr="003D4782">
              <w:rPr>
                <w:rFonts w:ascii="Calibri" w:hAnsi="Calibri" w:cs="Calibri"/>
                <w:spacing w:val="-1"/>
                <w:sz w:val="20"/>
                <w:szCs w:val="20"/>
              </w:rPr>
              <w:t>Lowest</w:t>
            </w:r>
            <w:r w:rsidRPr="003D4782">
              <w:rPr>
                <w:rFonts w:ascii="Calibri" w:hAnsi="Calibri" w:cs="Calibri"/>
                <w:spacing w:val="-2"/>
                <w:sz w:val="20"/>
                <w:szCs w:val="20"/>
              </w:rPr>
              <w:t xml:space="preserve"> </w:t>
            </w:r>
            <w:r w:rsidRPr="003D4782">
              <w:rPr>
                <w:rFonts w:ascii="Calibri" w:hAnsi="Calibri" w:cs="Calibri"/>
                <w:spacing w:val="-1"/>
                <w:sz w:val="20"/>
                <w:szCs w:val="20"/>
              </w:rPr>
              <w:t>Performing</w:t>
            </w:r>
            <w:r w:rsidRPr="003D4782">
              <w:rPr>
                <w:rFonts w:ascii="Calibri" w:hAnsi="Calibri" w:cs="Calibri"/>
                <w:spacing w:val="26"/>
                <w:sz w:val="20"/>
                <w:szCs w:val="20"/>
              </w:rPr>
              <w:t xml:space="preserve"> </w:t>
            </w:r>
            <w:r w:rsidRPr="003D4782">
              <w:rPr>
                <w:rFonts w:ascii="Calibri" w:hAnsi="Calibri" w:cs="Calibri"/>
                <w:spacing w:val="-1"/>
                <w:sz w:val="20"/>
                <w:szCs w:val="20"/>
              </w:rPr>
              <w:t>Subgroup</w:t>
            </w:r>
          </w:p>
        </w:tc>
        <w:tc>
          <w:tcPr>
            <w:tcW w:w="4050" w:type="dxa"/>
          </w:tcPr>
          <w:p w14:paraId="2CFC4CFF" w14:textId="77777777" w:rsidR="0079650F" w:rsidRPr="003D4782" w:rsidRDefault="0079650F" w:rsidP="00DF1B63">
            <w:pPr>
              <w:pStyle w:val="TableParagraph"/>
              <w:kinsoku w:val="0"/>
              <w:overflowPunct w:val="0"/>
              <w:spacing w:line="267" w:lineRule="exact"/>
              <w:ind w:left="70"/>
              <w:rPr>
                <w:rFonts w:ascii="Calibri" w:hAnsi="Calibri" w:cs="Calibri"/>
                <w:sz w:val="20"/>
                <w:szCs w:val="20"/>
              </w:rPr>
            </w:pPr>
            <w:r w:rsidRPr="003D4782">
              <w:rPr>
                <w:rFonts w:ascii="Calibri" w:hAnsi="Calibri" w:cs="Calibri"/>
                <w:b/>
                <w:bCs/>
                <w:spacing w:val="-1"/>
                <w:sz w:val="20"/>
                <w:szCs w:val="20"/>
              </w:rPr>
              <w:t>All TSI Schools</w:t>
            </w:r>
            <w:r w:rsidRPr="003D4782">
              <w:rPr>
                <w:rFonts w:ascii="Calibri" w:hAnsi="Calibri" w:cs="Calibri"/>
                <w:b/>
                <w:bCs/>
                <w:sz w:val="20"/>
                <w:szCs w:val="20"/>
              </w:rPr>
              <w:t xml:space="preserve"> </w:t>
            </w:r>
            <w:r w:rsidRPr="003D4782">
              <w:rPr>
                <w:rFonts w:ascii="Calibri" w:hAnsi="Calibri" w:cs="Calibri"/>
                <w:b/>
                <w:bCs/>
                <w:spacing w:val="-1"/>
                <w:sz w:val="20"/>
                <w:szCs w:val="20"/>
              </w:rPr>
              <w:t>Only:</w:t>
            </w:r>
          </w:p>
          <w:p w14:paraId="6622A714" w14:textId="4173B54A" w:rsidR="0079650F" w:rsidRPr="003D4782" w:rsidRDefault="0079650F" w:rsidP="00AF0590">
            <w:pPr>
              <w:pStyle w:val="TableParagraph"/>
              <w:kinsoku w:val="0"/>
              <w:overflowPunct w:val="0"/>
              <w:spacing w:line="239" w:lineRule="auto"/>
              <w:ind w:left="70" w:right="73"/>
              <w:rPr>
                <w:sz w:val="20"/>
                <w:szCs w:val="20"/>
              </w:rPr>
            </w:pPr>
            <w:r w:rsidRPr="003D4782">
              <w:rPr>
                <w:rFonts w:ascii="Calibri" w:hAnsi="Calibri" w:cs="Calibri"/>
                <w:spacing w:val="-1"/>
                <w:sz w:val="20"/>
                <w:szCs w:val="20"/>
              </w:rPr>
              <w:t>Have</w:t>
            </w:r>
            <w:r w:rsidRPr="003D4782">
              <w:rPr>
                <w:rFonts w:ascii="Calibri" w:hAnsi="Calibri" w:cs="Calibri"/>
                <w:sz w:val="20"/>
                <w:szCs w:val="20"/>
              </w:rPr>
              <w:t xml:space="preserve"> </w:t>
            </w:r>
            <w:r w:rsidRPr="003D4782">
              <w:rPr>
                <w:rFonts w:ascii="Calibri" w:hAnsi="Calibri" w:cs="Calibri"/>
                <w:spacing w:val="-1"/>
                <w:sz w:val="20"/>
                <w:szCs w:val="20"/>
              </w:rPr>
              <w:t>met the entrance criteria for</w:t>
            </w:r>
            <w:r w:rsidRPr="003D4782">
              <w:rPr>
                <w:rFonts w:ascii="Calibri" w:hAnsi="Calibri" w:cs="Calibri"/>
                <w:sz w:val="20"/>
                <w:szCs w:val="20"/>
              </w:rPr>
              <w:t xml:space="preserve"> a</w:t>
            </w:r>
            <w:r w:rsidRPr="003D4782">
              <w:rPr>
                <w:rFonts w:ascii="Calibri" w:hAnsi="Calibri" w:cs="Calibri"/>
                <w:spacing w:val="-2"/>
                <w:sz w:val="20"/>
                <w:szCs w:val="20"/>
              </w:rPr>
              <w:t xml:space="preserve"> </w:t>
            </w:r>
            <w:r w:rsidRPr="003D4782">
              <w:rPr>
                <w:rFonts w:ascii="Calibri" w:hAnsi="Calibri" w:cs="Calibri"/>
                <w:spacing w:val="-1"/>
                <w:sz w:val="20"/>
                <w:szCs w:val="20"/>
              </w:rPr>
              <w:t>targeted</w:t>
            </w:r>
            <w:r w:rsidRPr="003D4782">
              <w:rPr>
                <w:rFonts w:ascii="Calibri" w:hAnsi="Calibri" w:cs="Calibri"/>
                <w:spacing w:val="27"/>
                <w:sz w:val="20"/>
                <w:szCs w:val="20"/>
              </w:rPr>
              <w:t xml:space="preserve"> </w:t>
            </w:r>
            <w:r w:rsidRPr="003D4782">
              <w:rPr>
                <w:rFonts w:ascii="Calibri" w:hAnsi="Calibri" w:cs="Calibri"/>
                <w:spacing w:val="-1"/>
                <w:sz w:val="20"/>
                <w:szCs w:val="20"/>
              </w:rPr>
              <w:t>support</w:t>
            </w:r>
            <w:r w:rsidRPr="003D4782">
              <w:rPr>
                <w:rFonts w:ascii="Calibri" w:hAnsi="Calibri" w:cs="Calibri"/>
                <w:sz w:val="20"/>
                <w:szCs w:val="20"/>
              </w:rPr>
              <w:t xml:space="preserve"> </w:t>
            </w:r>
            <w:r w:rsidRPr="003D4782">
              <w:rPr>
                <w:rFonts w:ascii="Calibri" w:hAnsi="Calibri" w:cs="Calibri"/>
                <w:spacing w:val="-1"/>
                <w:sz w:val="20"/>
                <w:szCs w:val="20"/>
              </w:rPr>
              <w:t>and improvement</w:t>
            </w:r>
            <w:r w:rsidRPr="003D4782">
              <w:rPr>
                <w:rFonts w:ascii="Calibri" w:hAnsi="Calibri" w:cs="Calibri"/>
                <w:spacing w:val="-5"/>
                <w:sz w:val="20"/>
                <w:szCs w:val="20"/>
              </w:rPr>
              <w:t xml:space="preserve"> </w:t>
            </w:r>
            <w:r w:rsidRPr="003D4782">
              <w:rPr>
                <w:rFonts w:ascii="Calibri" w:hAnsi="Calibri" w:cs="Calibri"/>
                <w:spacing w:val="-1"/>
                <w:sz w:val="20"/>
                <w:szCs w:val="20"/>
              </w:rPr>
              <w:t>(TSI)</w:t>
            </w:r>
            <w:r w:rsidRPr="003D4782">
              <w:rPr>
                <w:rFonts w:ascii="Calibri" w:hAnsi="Calibri" w:cs="Calibri"/>
                <w:sz w:val="20"/>
                <w:szCs w:val="20"/>
              </w:rPr>
              <w:t xml:space="preserve"> </w:t>
            </w:r>
            <w:r w:rsidRPr="003D4782">
              <w:rPr>
                <w:rFonts w:ascii="Calibri" w:hAnsi="Calibri" w:cs="Calibri"/>
                <w:spacing w:val="-1"/>
                <w:sz w:val="20"/>
                <w:szCs w:val="20"/>
              </w:rPr>
              <w:t>school</w:t>
            </w:r>
            <w:r w:rsidRPr="003D4782">
              <w:rPr>
                <w:rFonts w:ascii="Calibri" w:hAnsi="Calibri" w:cs="Calibri"/>
                <w:spacing w:val="-3"/>
                <w:sz w:val="20"/>
                <w:szCs w:val="20"/>
              </w:rPr>
              <w:t xml:space="preserve"> </w:t>
            </w:r>
            <w:r w:rsidRPr="003D4782">
              <w:rPr>
                <w:rFonts w:ascii="Calibri" w:hAnsi="Calibri" w:cs="Calibri"/>
                <w:sz w:val="20"/>
                <w:szCs w:val="20"/>
              </w:rPr>
              <w:t>for the same subgroup for</w:t>
            </w:r>
            <w:r w:rsidRPr="003D4782">
              <w:rPr>
                <w:rFonts w:ascii="Calibri" w:hAnsi="Calibri" w:cs="Calibri"/>
                <w:spacing w:val="27"/>
                <w:sz w:val="20"/>
                <w:szCs w:val="20"/>
              </w:rPr>
              <w:t xml:space="preserve"> </w:t>
            </w:r>
            <w:r w:rsidRPr="003D4782">
              <w:rPr>
                <w:rFonts w:ascii="Calibri" w:hAnsi="Calibri" w:cs="Calibri"/>
                <w:sz w:val="20"/>
                <w:szCs w:val="20"/>
              </w:rPr>
              <w:t xml:space="preserve">three </w:t>
            </w:r>
            <w:r w:rsidRPr="003D4782">
              <w:rPr>
                <w:rFonts w:ascii="Calibri" w:hAnsi="Calibri" w:cs="Calibri"/>
                <w:spacing w:val="-1"/>
                <w:sz w:val="20"/>
                <w:szCs w:val="20"/>
              </w:rPr>
              <w:t>consecutive</w:t>
            </w:r>
            <w:r w:rsidRPr="003D4782">
              <w:rPr>
                <w:rFonts w:ascii="Calibri" w:hAnsi="Calibri" w:cs="Calibri"/>
                <w:spacing w:val="-2"/>
                <w:sz w:val="20"/>
                <w:szCs w:val="20"/>
              </w:rPr>
              <w:t xml:space="preserve"> </w:t>
            </w:r>
            <w:r w:rsidRPr="003D4782">
              <w:rPr>
                <w:rFonts w:ascii="Calibri" w:hAnsi="Calibri" w:cs="Calibri"/>
                <w:sz w:val="20"/>
                <w:szCs w:val="20"/>
              </w:rPr>
              <w:t>years without meeting the TSI exit criteria.</w:t>
            </w:r>
            <w:r w:rsidRPr="003D4782">
              <w:rPr>
                <w:rFonts w:ascii="Calibri" w:hAnsi="Calibri" w:cs="Calibri"/>
                <w:spacing w:val="-1"/>
                <w:sz w:val="20"/>
                <w:szCs w:val="20"/>
              </w:rPr>
              <w:t xml:space="preserve">  These schools will be identified </w:t>
            </w:r>
            <w:r w:rsidR="00B24372">
              <w:rPr>
                <w:rFonts w:ascii="Calibri" w:hAnsi="Calibri" w:cs="Calibri"/>
                <w:spacing w:val="-1"/>
                <w:sz w:val="20"/>
                <w:szCs w:val="20"/>
              </w:rPr>
              <w:t>for CSI at the beginning</w:t>
            </w:r>
            <w:r w:rsidR="00AF0590">
              <w:rPr>
                <w:rFonts w:ascii="Calibri" w:hAnsi="Calibri" w:cs="Calibri"/>
                <w:spacing w:val="-1"/>
                <w:sz w:val="20"/>
                <w:szCs w:val="20"/>
              </w:rPr>
              <w:t xml:space="preserve"> of the next school year</w:t>
            </w:r>
            <w:r w:rsidRPr="003D4782">
              <w:rPr>
                <w:rFonts w:ascii="Calibri" w:hAnsi="Calibri" w:cs="Calibri"/>
                <w:spacing w:val="-1"/>
                <w:sz w:val="20"/>
                <w:szCs w:val="20"/>
              </w:rPr>
              <w:t>.</w:t>
            </w:r>
            <w:r w:rsidR="00B24372" w:rsidRPr="001673F0">
              <w:rPr>
                <w:spacing w:val="-1"/>
              </w:rPr>
              <w:t xml:space="preserve"> </w:t>
            </w:r>
            <w:r w:rsidR="00B24372" w:rsidRPr="00AF0590">
              <w:rPr>
                <w:rFonts w:ascii="Calibri" w:hAnsi="Calibri" w:cs="Calibri"/>
                <w:sz w:val="20"/>
                <w:szCs w:val="20"/>
              </w:rPr>
              <w:t>The 2021-2022 school year will be the first year schools that have had three consecutive years of meeting the TSI entrance conditions for a subgroup will be designated as CSI schools.</w:t>
            </w:r>
          </w:p>
        </w:tc>
        <w:tc>
          <w:tcPr>
            <w:tcW w:w="2880" w:type="dxa"/>
          </w:tcPr>
          <w:p w14:paraId="5A709F4D" w14:textId="77777777" w:rsidR="0079650F" w:rsidRPr="003D4782" w:rsidRDefault="0079650F" w:rsidP="00DF1B63">
            <w:pPr>
              <w:pStyle w:val="TableParagraph"/>
              <w:kinsoku w:val="0"/>
              <w:overflowPunct w:val="0"/>
              <w:spacing w:line="267" w:lineRule="exact"/>
              <w:ind w:left="70"/>
              <w:rPr>
                <w:sz w:val="20"/>
                <w:szCs w:val="20"/>
              </w:rPr>
            </w:pPr>
            <w:r w:rsidRPr="003D4782">
              <w:rPr>
                <w:rFonts w:ascii="Calibri" w:hAnsi="Calibri" w:cs="Calibri"/>
                <w:spacing w:val="-1"/>
                <w:sz w:val="20"/>
                <w:szCs w:val="20"/>
              </w:rPr>
              <w:t>Meet</w:t>
            </w:r>
            <w:r w:rsidRPr="003D4782">
              <w:rPr>
                <w:rFonts w:ascii="Calibri" w:hAnsi="Calibri" w:cs="Calibri"/>
                <w:spacing w:val="1"/>
                <w:sz w:val="20"/>
                <w:szCs w:val="20"/>
              </w:rPr>
              <w:t xml:space="preserve"> </w:t>
            </w:r>
            <w:r w:rsidRPr="003D4782">
              <w:rPr>
                <w:rFonts w:ascii="Calibri" w:hAnsi="Calibri" w:cs="Calibri"/>
                <w:sz w:val="20"/>
                <w:szCs w:val="20"/>
              </w:rPr>
              <w:t>the</w:t>
            </w:r>
            <w:r w:rsidRPr="003D4782">
              <w:rPr>
                <w:rFonts w:ascii="Calibri" w:hAnsi="Calibri" w:cs="Calibri"/>
                <w:spacing w:val="-3"/>
                <w:sz w:val="20"/>
                <w:szCs w:val="20"/>
              </w:rPr>
              <w:t xml:space="preserve"> </w:t>
            </w:r>
            <w:r w:rsidRPr="003D4782">
              <w:rPr>
                <w:rFonts w:ascii="Calibri" w:hAnsi="Calibri" w:cs="Calibri"/>
                <w:spacing w:val="-1"/>
                <w:sz w:val="20"/>
                <w:szCs w:val="20"/>
              </w:rPr>
              <w:t>TSI</w:t>
            </w:r>
            <w:r w:rsidRPr="003D4782">
              <w:rPr>
                <w:rFonts w:ascii="Calibri" w:hAnsi="Calibri" w:cs="Calibri"/>
                <w:spacing w:val="-3"/>
                <w:sz w:val="20"/>
                <w:szCs w:val="20"/>
              </w:rPr>
              <w:t xml:space="preserve"> </w:t>
            </w:r>
            <w:r w:rsidRPr="003D4782">
              <w:rPr>
                <w:rFonts w:ascii="Calibri" w:hAnsi="Calibri" w:cs="Calibri"/>
                <w:sz w:val="20"/>
                <w:szCs w:val="20"/>
              </w:rPr>
              <w:t>exit</w:t>
            </w:r>
            <w:r w:rsidRPr="003D4782">
              <w:rPr>
                <w:rFonts w:ascii="Calibri" w:hAnsi="Calibri" w:cs="Calibri"/>
                <w:spacing w:val="-2"/>
                <w:sz w:val="20"/>
                <w:szCs w:val="20"/>
              </w:rPr>
              <w:t xml:space="preserve"> </w:t>
            </w:r>
            <w:r w:rsidRPr="003D4782">
              <w:rPr>
                <w:rFonts w:ascii="Calibri" w:hAnsi="Calibri" w:cs="Calibri"/>
                <w:sz w:val="20"/>
                <w:szCs w:val="20"/>
              </w:rPr>
              <w:t>criteria as evaluated annually.</w:t>
            </w:r>
          </w:p>
        </w:tc>
      </w:tr>
    </w:tbl>
    <w:p w14:paraId="7F00735C" w14:textId="380CA601" w:rsidR="007E1296" w:rsidRDefault="007E1296" w:rsidP="00B83D1C">
      <w:pPr>
        <w:spacing w:after="0"/>
        <w:rPr>
          <w:sz w:val="16"/>
          <w:szCs w:val="16"/>
        </w:rPr>
      </w:pPr>
    </w:p>
    <w:p w14:paraId="5849468F" w14:textId="77777777" w:rsidR="007E1296" w:rsidRDefault="007E1296">
      <w:pPr>
        <w:rPr>
          <w:sz w:val="16"/>
          <w:szCs w:val="16"/>
        </w:rPr>
      </w:pPr>
      <w:r>
        <w:rPr>
          <w:sz w:val="16"/>
          <w:szCs w:val="16"/>
        </w:rPr>
        <w:br w:type="page"/>
      </w:r>
    </w:p>
    <w:p w14:paraId="191E3CBC" w14:textId="6CC9BE65" w:rsidR="00D1216B" w:rsidRPr="001E1A85" w:rsidRDefault="001E1A85" w:rsidP="001E1A85">
      <w:r w:rsidRPr="001E1A85">
        <w:rPr>
          <w:rFonts w:ascii="Calibri" w:hAnsi="Calibri" w:cs="Calibri"/>
          <w:b/>
          <w:bCs/>
          <w:iCs/>
          <w:spacing w:val="-1"/>
        </w:rPr>
        <w:lastRenderedPageBreak/>
        <w:t>Targeted</w:t>
      </w:r>
      <w:r w:rsidRPr="001E1A85">
        <w:rPr>
          <w:rFonts w:ascii="Calibri" w:hAnsi="Calibri" w:cs="Calibri"/>
          <w:b/>
          <w:bCs/>
          <w:iCs/>
          <w:spacing w:val="-2"/>
        </w:rPr>
        <w:t xml:space="preserve"> </w:t>
      </w:r>
      <w:r w:rsidRPr="001E1A85">
        <w:rPr>
          <w:rFonts w:ascii="Calibri" w:hAnsi="Calibri" w:cs="Calibri"/>
          <w:b/>
          <w:bCs/>
          <w:iCs/>
          <w:spacing w:val="-1"/>
        </w:rPr>
        <w:t>Support</w:t>
      </w:r>
      <w:r w:rsidRPr="001E1A85">
        <w:rPr>
          <w:rFonts w:ascii="Calibri" w:hAnsi="Calibri" w:cs="Calibri"/>
          <w:b/>
          <w:bCs/>
          <w:iCs/>
          <w:spacing w:val="-2"/>
        </w:rPr>
        <w:t xml:space="preserve"> </w:t>
      </w:r>
      <w:r w:rsidRPr="001E1A85">
        <w:rPr>
          <w:rFonts w:ascii="Calibri" w:hAnsi="Calibri" w:cs="Calibri"/>
          <w:b/>
          <w:bCs/>
          <w:iCs/>
          <w:spacing w:val="-1"/>
        </w:rPr>
        <w:t>and</w:t>
      </w:r>
      <w:r w:rsidRPr="001E1A85">
        <w:rPr>
          <w:rFonts w:ascii="Calibri" w:hAnsi="Calibri" w:cs="Calibri"/>
          <w:b/>
          <w:bCs/>
          <w:iCs/>
          <w:spacing w:val="1"/>
        </w:rPr>
        <w:t xml:space="preserve"> </w:t>
      </w:r>
      <w:r w:rsidRPr="001E1A85">
        <w:rPr>
          <w:rFonts w:ascii="Calibri" w:hAnsi="Calibri" w:cs="Calibri"/>
          <w:b/>
          <w:bCs/>
          <w:iCs/>
          <w:spacing w:val="-1"/>
        </w:rPr>
        <w:t>Improvement (TSI)</w:t>
      </w:r>
    </w:p>
    <w:tbl>
      <w:tblPr>
        <w:tblW w:w="9175" w:type="dxa"/>
        <w:jc w:val="center"/>
        <w:tblBorders>
          <w:top w:val="single" w:sz="4" w:space="0" w:color="auto"/>
          <w:left w:val="single" w:sz="4" w:space="0" w:color="auto"/>
          <w:bottom w:val="single" w:sz="4" w:space="0" w:color="auto"/>
          <w:right w:val="single" w:sz="4" w:space="0" w:color="auto"/>
          <w:insideH w:val="single" w:sz="4" w:space="0" w:color="BEBEBE"/>
          <w:insideV w:val="single" w:sz="4" w:space="0" w:color="BEBEBE"/>
        </w:tblBorders>
        <w:tblLayout w:type="fixed"/>
        <w:tblCellMar>
          <w:left w:w="0" w:type="dxa"/>
          <w:right w:w="0" w:type="dxa"/>
        </w:tblCellMar>
        <w:tblLook w:val="0000" w:firstRow="0" w:lastRow="0" w:firstColumn="0" w:lastColumn="0" w:noHBand="0" w:noVBand="0"/>
      </w:tblPr>
      <w:tblGrid>
        <w:gridCol w:w="805"/>
        <w:gridCol w:w="1440"/>
        <w:gridCol w:w="4050"/>
        <w:gridCol w:w="2880"/>
      </w:tblGrid>
      <w:tr w:rsidR="00D1216B" w:rsidRPr="00B83D1C" w14:paraId="0AC77613" w14:textId="77777777" w:rsidTr="001E1A85">
        <w:trPr>
          <w:trHeight w:hRule="exact" w:val="640"/>
          <w:tblHeader/>
          <w:jc w:val="center"/>
        </w:trPr>
        <w:tc>
          <w:tcPr>
            <w:tcW w:w="805" w:type="dxa"/>
            <w:shd w:val="clear" w:color="auto" w:fill="F1F1F1"/>
          </w:tcPr>
          <w:p w14:paraId="3E11F55A" w14:textId="77777777" w:rsidR="00D1216B" w:rsidRPr="00CA096F" w:rsidRDefault="00D1216B" w:rsidP="00DF1B63">
            <w:pPr>
              <w:pStyle w:val="TableParagraph"/>
              <w:kinsoku w:val="0"/>
              <w:overflowPunct w:val="0"/>
              <w:spacing w:line="267" w:lineRule="exact"/>
              <w:ind w:left="78"/>
              <w:rPr>
                <w:sz w:val="20"/>
                <w:szCs w:val="20"/>
              </w:rPr>
            </w:pPr>
            <w:r w:rsidRPr="00CA096F">
              <w:rPr>
                <w:rFonts w:ascii="Calibri" w:hAnsi="Calibri" w:cs="Calibri"/>
                <w:b/>
                <w:bCs/>
                <w:spacing w:val="-1"/>
                <w:sz w:val="20"/>
                <w:szCs w:val="20"/>
              </w:rPr>
              <w:t>Criteria</w:t>
            </w:r>
            <w:r w:rsidRPr="00CA096F">
              <w:rPr>
                <w:rFonts w:ascii="Calibri" w:hAnsi="Calibri" w:cs="Calibri"/>
                <w:b/>
                <w:bCs/>
                <w:spacing w:val="-3"/>
                <w:sz w:val="20"/>
                <w:szCs w:val="20"/>
              </w:rPr>
              <w:t xml:space="preserve"> </w:t>
            </w:r>
            <w:r w:rsidRPr="00CA096F">
              <w:rPr>
                <w:rFonts w:ascii="Calibri" w:hAnsi="Calibri" w:cs="Calibri"/>
                <w:b/>
                <w:bCs/>
                <w:sz w:val="20"/>
                <w:szCs w:val="20"/>
              </w:rPr>
              <w:t>#</w:t>
            </w:r>
          </w:p>
        </w:tc>
        <w:tc>
          <w:tcPr>
            <w:tcW w:w="1440" w:type="dxa"/>
            <w:shd w:val="clear" w:color="auto" w:fill="F1F1F1"/>
          </w:tcPr>
          <w:p w14:paraId="51FE622C" w14:textId="77777777" w:rsidR="00D1216B" w:rsidRPr="00CA096F" w:rsidRDefault="00D1216B" w:rsidP="00DF1B63">
            <w:pPr>
              <w:pStyle w:val="TableParagraph"/>
              <w:kinsoku w:val="0"/>
              <w:overflowPunct w:val="0"/>
              <w:spacing w:line="267" w:lineRule="exact"/>
              <w:ind w:left="70"/>
              <w:rPr>
                <w:b/>
                <w:sz w:val="20"/>
                <w:szCs w:val="20"/>
              </w:rPr>
            </w:pPr>
            <w:r w:rsidRPr="00CA096F">
              <w:rPr>
                <w:rFonts w:ascii="Calibri" w:hAnsi="Calibri" w:cs="Calibri"/>
                <w:b/>
                <w:spacing w:val="-1"/>
                <w:sz w:val="20"/>
                <w:szCs w:val="20"/>
              </w:rPr>
              <w:t>Criteria Category</w:t>
            </w:r>
          </w:p>
        </w:tc>
        <w:tc>
          <w:tcPr>
            <w:tcW w:w="4050" w:type="dxa"/>
            <w:shd w:val="clear" w:color="auto" w:fill="F1F1F1"/>
          </w:tcPr>
          <w:p w14:paraId="27092214" w14:textId="77777777" w:rsidR="00D1216B" w:rsidRPr="00CA096F" w:rsidRDefault="00D1216B" w:rsidP="00DF1B63">
            <w:pPr>
              <w:pStyle w:val="TableParagraph"/>
              <w:kinsoku w:val="0"/>
              <w:overflowPunct w:val="0"/>
              <w:spacing w:line="267" w:lineRule="exact"/>
              <w:ind w:left="70"/>
              <w:rPr>
                <w:b/>
                <w:sz w:val="20"/>
                <w:szCs w:val="20"/>
              </w:rPr>
            </w:pPr>
            <w:r w:rsidRPr="00CA096F">
              <w:rPr>
                <w:rFonts w:ascii="Calibri" w:hAnsi="Calibri" w:cs="Calibri"/>
                <w:b/>
                <w:spacing w:val="-1"/>
                <w:sz w:val="20"/>
                <w:szCs w:val="20"/>
              </w:rPr>
              <w:t>Entrance</w:t>
            </w:r>
            <w:r w:rsidRPr="00CA096F">
              <w:rPr>
                <w:rFonts w:ascii="Calibri" w:hAnsi="Calibri" w:cs="Calibri"/>
                <w:b/>
                <w:spacing w:val="1"/>
                <w:sz w:val="20"/>
                <w:szCs w:val="20"/>
              </w:rPr>
              <w:t xml:space="preserve"> </w:t>
            </w:r>
            <w:r w:rsidRPr="00CA096F">
              <w:rPr>
                <w:rFonts w:ascii="Calibri" w:hAnsi="Calibri" w:cs="Calibri"/>
                <w:b/>
                <w:spacing w:val="-1"/>
                <w:sz w:val="20"/>
                <w:szCs w:val="20"/>
              </w:rPr>
              <w:t>Criteria</w:t>
            </w:r>
          </w:p>
        </w:tc>
        <w:tc>
          <w:tcPr>
            <w:tcW w:w="2880" w:type="dxa"/>
            <w:shd w:val="clear" w:color="auto" w:fill="F1F1F1"/>
          </w:tcPr>
          <w:p w14:paraId="246D28EB" w14:textId="77777777" w:rsidR="00D1216B" w:rsidRPr="00CA096F" w:rsidRDefault="00D1216B" w:rsidP="00DF1B63">
            <w:pPr>
              <w:pStyle w:val="TableParagraph"/>
              <w:kinsoku w:val="0"/>
              <w:overflowPunct w:val="0"/>
              <w:spacing w:line="267" w:lineRule="exact"/>
              <w:ind w:left="70"/>
              <w:rPr>
                <w:b/>
                <w:sz w:val="20"/>
                <w:szCs w:val="20"/>
              </w:rPr>
            </w:pPr>
            <w:r w:rsidRPr="00CA096F">
              <w:rPr>
                <w:rFonts w:ascii="Calibri" w:hAnsi="Calibri" w:cs="Calibri"/>
                <w:b/>
                <w:spacing w:val="-1"/>
                <w:sz w:val="20"/>
                <w:szCs w:val="20"/>
              </w:rPr>
              <w:t>Exit</w:t>
            </w:r>
            <w:r w:rsidRPr="00CA096F">
              <w:rPr>
                <w:rFonts w:ascii="Calibri" w:hAnsi="Calibri" w:cs="Calibri"/>
                <w:b/>
                <w:sz w:val="20"/>
                <w:szCs w:val="20"/>
              </w:rPr>
              <w:t xml:space="preserve"> </w:t>
            </w:r>
            <w:r w:rsidRPr="00CA096F">
              <w:rPr>
                <w:rFonts w:ascii="Calibri" w:hAnsi="Calibri" w:cs="Calibri"/>
                <w:b/>
                <w:spacing w:val="-1"/>
                <w:sz w:val="20"/>
                <w:szCs w:val="20"/>
              </w:rPr>
              <w:t>Criteria</w:t>
            </w:r>
          </w:p>
        </w:tc>
      </w:tr>
      <w:tr w:rsidR="00D1216B" w:rsidRPr="007F3F36" w14:paraId="19D00D48" w14:textId="77777777" w:rsidTr="00B83D1C">
        <w:trPr>
          <w:trHeight w:hRule="exact" w:val="3682"/>
          <w:jc w:val="center"/>
        </w:trPr>
        <w:tc>
          <w:tcPr>
            <w:tcW w:w="805" w:type="dxa"/>
          </w:tcPr>
          <w:p w14:paraId="21095AF2" w14:textId="77777777" w:rsidR="00D1216B" w:rsidRPr="00CA096F" w:rsidRDefault="00D1216B" w:rsidP="00DF1B63">
            <w:pPr>
              <w:pStyle w:val="TableParagraph"/>
              <w:kinsoku w:val="0"/>
              <w:overflowPunct w:val="0"/>
              <w:spacing w:line="267" w:lineRule="exact"/>
              <w:jc w:val="center"/>
              <w:rPr>
                <w:sz w:val="20"/>
                <w:szCs w:val="20"/>
              </w:rPr>
            </w:pPr>
            <w:r w:rsidRPr="00CA096F">
              <w:rPr>
                <w:rFonts w:ascii="Calibri" w:hAnsi="Calibri" w:cs="Calibri"/>
                <w:b/>
                <w:bCs/>
                <w:sz w:val="20"/>
                <w:szCs w:val="20"/>
              </w:rPr>
              <w:t>1</w:t>
            </w:r>
          </w:p>
        </w:tc>
        <w:tc>
          <w:tcPr>
            <w:tcW w:w="1440" w:type="dxa"/>
          </w:tcPr>
          <w:p w14:paraId="7EF2B78C" w14:textId="6789FC15" w:rsidR="00D1216B" w:rsidRPr="00CA096F" w:rsidRDefault="00D1216B" w:rsidP="00DF1B63">
            <w:pPr>
              <w:pStyle w:val="TableParagraph"/>
              <w:kinsoku w:val="0"/>
              <w:overflowPunct w:val="0"/>
              <w:spacing w:line="239" w:lineRule="auto"/>
              <w:ind w:left="70" w:right="329"/>
              <w:rPr>
                <w:sz w:val="20"/>
                <w:szCs w:val="20"/>
              </w:rPr>
            </w:pPr>
            <w:r w:rsidRPr="00CA096F">
              <w:rPr>
                <w:rFonts w:ascii="Calibri" w:hAnsi="Calibri" w:cs="Calibri"/>
                <w:spacing w:val="-1"/>
                <w:sz w:val="20"/>
                <w:szCs w:val="20"/>
              </w:rPr>
              <w:t>Consistently</w:t>
            </w:r>
            <w:r w:rsidRPr="00CA096F">
              <w:rPr>
                <w:rFonts w:ascii="Calibri" w:hAnsi="Calibri" w:cs="Calibri"/>
                <w:spacing w:val="25"/>
                <w:sz w:val="20"/>
                <w:szCs w:val="20"/>
              </w:rPr>
              <w:t xml:space="preserve"> </w:t>
            </w:r>
            <w:r w:rsidRPr="00CA096F">
              <w:rPr>
                <w:rFonts w:ascii="Calibri" w:hAnsi="Calibri" w:cs="Calibri"/>
                <w:spacing w:val="-1"/>
                <w:sz w:val="20"/>
                <w:szCs w:val="20"/>
              </w:rPr>
              <w:t>Under</w:t>
            </w:r>
            <w:r w:rsidR="00D24CAD" w:rsidRPr="00CA096F">
              <w:rPr>
                <w:rFonts w:ascii="Calibri" w:hAnsi="Calibri" w:cs="Calibri"/>
                <w:spacing w:val="-1"/>
                <w:sz w:val="20"/>
                <w:szCs w:val="20"/>
              </w:rPr>
              <w:t>-</w:t>
            </w:r>
            <w:r w:rsidRPr="00CA096F">
              <w:rPr>
                <w:rFonts w:ascii="Calibri" w:hAnsi="Calibri" w:cs="Calibri"/>
                <w:spacing w:val="-1"/>
                <w:sz w:val="20"/>
                <w:szCs w:val="20"/>
              </w:rPr>
              <w:t>performing</w:t>
            </w:r>
            <w:r w:rsidRPr="00CA096F">
              <w:rPr>
                <w:rFonts w:ascii="Calibri" w:hAnsi="Calibri" w:cs="Calibri"/>
                <w:spacing w:val="29"/>
                <w:sz w:val="20"/>
                <w:szCs w:val="20"/>
              </w:rPr>
              <w:t xml:space="preserve"> </w:t>
            </w:r>
            <w:r w:rsidRPr="00CA096F">
              <w:rPr>
                <w:rFonts w:ascii="Calibri" w:hAnsi="Calibri" w:cs="Calibri"/>
                <w:spacing w:val="-1"/>
                <w:sz w:val="20"/>
                <w:szCs w:val="20"/>
              </w:rPr>
              <w:t>Subgroup</w:t>
            </w:r>
          </w:p>
        </w:tc>
        <w:tc>
          <w:tcPr>
            <w:tcW w:w="4050" w:type="dxa"/>
          </w:tcPr>
          <w:p w14:paraId="40787A8F" w14:textId="77777777" w:rsidR="00D1216B" w:rsidRPr="00CA096F" w:rsidRDefault="00D1216B" w:rsidP="00DF1B63">
            <w:pPr>
              <w:pStyle w:val="TableParagraph"/>
              <w:kinsoku w:val="0"/>
              <w:overflowPunct w:val="0"/>
              <w:spacing w:line="267" w:lineRule="exact"/>
              <w:ind w:left="70"/>
              <w:rPr>
                <w:rFonts w:ascii="Calibri" w:hAnsi="Calibri" w:cs="Calibri"/>
                <w:sz w:val="20"/>
                <w:szCs w:val="20"/>
              </w:rPr>
            </w:pPr>
            <w:r w:rsidRPr="00CA096F">
              <w:rPr>
                <w:rFonts w:ascii="Calibri" w:hAnsi="Calibri" w:cs="Calibri"/>
                <w:b/>
                <w:bCs/>
                <w:sz w:val="20"/>
                <w:szCs w:val="20"/>
              </w:rPr>
              <w:t>All</w:t>
            </w:r>
            <w:r w:rsidRPr="00CA096F">
              <w:rPr>
                <w:rFonts w:ascii="Calibri" w:hAnsi="Calibri" w:cs="Calibri"/>
                <w:b/>
                <w:bCs/>
                <w:spacing w:val="-2"/>
                <w:sz w:val="20"/>
                <w:szCs w:val="20"/>
              </w:rPr>
              <w:t xml:space="preserve"> </w:t>
            </w:r>
            <w:r w:rsidRPr="00CA096F">
              <w:rPr>
                <w:rFonts w:ascii="Calibri" w:hAnsi="Calibri" w:cs="Calibri"/>
                <w:b/>
                <w:bCs/>
                <w:spacing w:val="-1"/>
                <w:sz w:val="20"/>
                <w:szCs w:val="20"/>
              </w:rPr>
              <w:t>Schools not already identified as CSI:</w:t>
            </w:r>
          </w:p>
          <w:p w14:paraId="69028DCC" w14:textId="77777777" w:rsidR="00D1216B" w:rsidRPr="00CA096F" w:rsidRDefault="00D1216B" w:rsidP="00DF1B63">
            <w:pPr>
              <w:pStyle w:val="TableParagraph"/>
              <w:kinsoku w:val="0"/>
              <w:overflowPunct w:val="0"/>
              <w:spacing w:line="239" w:lineRule="auto"/>
              <w:ind w:left="70" w:right="71"/>
              <w:rPr>
                <w:rFonts w:ascii="Calibri" w:hAnsi="Calibri" w:cs="Calibri"/>
                <w:sz w:val="20"/>
                <w:szCs w:val="20"/>
              </w:rPr>
            </w:pPr>
            <w:r w:rsidRPr="00CA096F">
              <w:rPr>
                <w:rFonts w:ascii="Calibri" w:hAnsi="Calibri" w:cs="Calibri"/>
                <w:spacing w:val="-1"/>
                <w:sz w:val="20"/>
                <w:szCs w:val="20"/>
              </w:rPr>
              <w:t>Have</w:t>
            </w:r>
            <w:r w:rsidRPr="00CA096F">
              <w:rPr>
                <w:rFonts w:ascii="Calibri" w:hAnsi="Calibri" w:cs="Calibri"/>
                <w:spacing w:val="-2"/>
                <w:sz w:val="20"/>
                <w:szCs w:val="20"/>
              </w:rPr>
              <w:t xml:space="preserve"> </w:t>
            </w:r>
            <w:r w:rsidRPr="00CA096F">
              <w:rPr>
                <w:rFonts w:ascii="Calibri" w:hAnsi="Calibri" w:cs="Calibri"/>
                <w:sz w:val="20"/>
                <w:szCs w:val="20"/>
              </w:rPr>
              <w:t>one</w:t>
            </w:r>
            <w:r w:rsidRPr="00CA096F">
              <w:rPr>
                <w:rFonts w:ascii="Calibri" w:hAnsi="Calibri" w:cs="Calibri"/>
                <w:spacing w:val="-2"/>
                <w:sz w:val="20"/>
                <w:szCs w:val="20"/>
              </w:rPr>
              <w:t xml:space="preserve"> </w:t>
            </w:r>
            <w:r w:rsidRPr="00CA096F">
              <w:rPr>
                <w:rFonts w:ascii="Calibri" w:hAnsi="Calibri" w:cs="Calibri"/>
                <w:sz w:val="20"/>
                <w:szCs w:val="20"/>
              </w:rPr>
              <w:t>or</w:t>
            </w:r>
            <w:r w:rsidRPr="00CA096F">
              <w:rPr>
                <w:rFonts w:ascii="Calibri" w:hAnsi="Calibri" w:cs="Calibri"/>
                <w:spacing w:val="-2"/>
                <w:sz w:val="20"/>
                <w:szCs w:val="20"/>
              </w:rPr>
              <w:t xml:space="preserve"> </w:t>
            </w:r>
            <w:r w:rsidRPr="00CA096F">
              <w:rPr>
                <w:rFonts w:ascii="Calibri" w:hAnsi="Calibri" w:cs="Calibri"/>
                <w:spacing w:val="-1"/>
                <w:sz w:val="20"/>
                <w:szCs w:val="20"/>
              </w:rPr>
              <w:t>more</w:t>
            </w:r>
            <w:r w:rsidRPr="00CA096F">
              <w:rPr>
                <w:rFonts w:ascii="Calibri" w:hAnsi="Calibri" w:cs="Calibri"/>
                <w:spacing w:val="-2"/>
                <w:sz w:val="20"/>
                <w:szCs w:val="20"/>
              </w:rPr>
              <w:t xml:space="preserve"> subgroups</w:t>
            </w:r>
            <w:r w:rsidRPr="00CA096F">
              <w:rPr>
                <w:rFonts w:ascii="Calibri" w:hAnsi="Calibri" w:cs="Calibri"/>
                <w:sz w:val="20"/>
                <w:szCs w:val="20"/>
              </w:rPr>
              <w:t xml:space="preserve"> whose accountability index value is less than or equal to the annually determined Lowest Performance Threshold of the CSI schools identified as the lowest performing 5%.</w:t>
            </w:r>
            <w:r w:rsidRPr="00CA096F">
              <w:rPr>
                <w:rFonts w:ascii="Calibri" w:hAnsi="Calibri" w:cs="Calibri"/>
                <w:spacing w:val="1"/>
                <w:sz w:val="20"/>
                <w:szCs w:val="20"/>
              </w:rPr>
              <w:t xml:space="preserve"> </w:t>
            </w:r>
          </w:p>
          <w:p w14:paraId="2206C0C0" w14:textId="77777777" w:rsidR="00D1216B" w:rsidRPr="00CA096F" w:rsidRDefault="00D1216B" w:rsidP="00DF1B63">
            <w:pPr>
              <w:pStyle w:val="TableParagraph"/>
              <w:kinsoku w:val="0"/>
              <w:overflowPunct w:val="0"/>
              <w:rPr>
                <w:rFonts w:ascii="Calibri" w:hAnsi="Calibri" w:cs="Calibri"/>
                <w:sz w:val="20"/>
                <w:szCs w:val="20"/>
              </w:rPr>
            </w:pPr>
          </w:p>
          <w:p w14:paraId="781D3FF7" w14:textId="77777777" w:rsidR="00D1216B" w:rsidRPr="00CA096F" w:rsidRDefault="00D1216B" w:rsidP="00DF1B63">
            <w:pPr>
              <w:pStyle w:val="TableParagraph"/>
              <w:kinsoku w:val="0"/>
              <w:overflowPunct w:val="0"/>
              <w:ind w:left="70" w:right="118"/>
              <w:rPr>
                <w:rFonts w:ascii="Calibri" w:hAnsi="Calibri" w:cs="Calibri"/>
                <w:sz w:val="20"/>
                <w:szCs w:val="20"/>
              </w:rPr>
            </w:pPr>
            <w:r w:rsidRPr="00CA096F">
              <w:rPr>
                <w:rFonts w:ascii="Calibri" w:hAnsi="Calibri" w:cs="Calibri"/>
                <w:spacing w:val="-1"/>
                <w:sz w:val="20"/>
                <w:szCs w:val="20"/>
              </w:rPr>
              <w:t>Note:</w:t>
            </w:r>
            <w:r w:rsidRPr="00CA096F">
              <w:rPr>
                <w:rFonts w:ascii="Calibri" w:hAnsi="Calibri" w:cs="Calibri"/>
                <w:sz w:val="20"/>
                <w:szCs w:val="20"/>
              </w:rPr>
              <w:t xml:space="preserve"> This definition of TSI qualifies all TSI schools for additional targeted support. A </w:t>
            </w:r>
            <w:r w:rsidRPr="00CA096F">
              <w:rPr>
                <w:rFonts w:ascii="Calibri" w:hAnsi="Calibri" w:cs="Calibri"/>
                <w:spacing w:val="-1"/>
                <w:sz w:val="20"/>
                <w:szCs w:val="20"/>
              </w:rPr>
              <w:t>school that meets this</w:t>
            </w:r>
            <w:r w:rsidRPr="00CA096F">
              <w:rPr>
                <w:rFonts w:ascii="Calibri" w:hAnsi="Calibri" w:cs="Calibri"/>
                <w:spacing w:val="25"/>
                <w:sz w:val="20"/>
                <w:szCs w:val="20"/>
              </w:rPr>
              <w:t xml:space="preserve"> </w:t>
            </w:r>
            <w:r w:rsidRPr="00CA096F">
              <w:rPr>
                <w:rFonts w:ascii="Calibri" w:hAnsi="Calibri" w:cs="Calibri"/>
                <w:sz w:val="20"/>
                <w:szCs w:val="20"/>
              </w:rPr>
              <w:t>criteria</w:t>
            </w:r>
            <w:r w:rsidRPr="00CA096F">
              <w:rPr>
                <w:rFonts w:ascii="Calibri" w:hAnsi="Calibri" w:cs="Calibri"/>
                <w:spacing w:val="-2"/>
                <w:sz w:val="20"/>
                <w:szCs w:val="20"/>
              </w:rPr>
              <w:t xml:space="preserve"> </w:t>
            </w:r>
            <w:r w:rsidRPr="00CA096F">
              <w:rPr>
                <w:rFonts w:ascii="Calibri" w:hAnsi="Calibri" w:cs="Calibri"/>
                <w:sz w:val="20"/>
                <w:szCs w:val="20"/>
              </w:rPr>
              <w:t xml:space="preserve">will </w:t>
            </w:r>
            <w:r w:rsidRPr="00CA096F">
              <w:rPr>
                <w:rFonts w:ascii="Calibri" w:hAnsi="Calibri" w:cs="Calibri"/>
                <w:spacing w:val="-1"/>
                <w:sz w:val="20"/>
                <w:szCs w:val="20"/>
              </w:rPr>
              <w:t>be</w:t>
            </w:r>
            <w:r w:rsidRPr="00CA096F">
              <w:rPr>
                <w:rFonts w:ascii="Calibri" w:hAnsi="Calibri" w:cs="Calibri"/>
                <w:spacing w:val="-2"/>
                <w:sz w:val="20"/>
                <w:szCs w:val="20"/>
              </w:rPr>
              <w:t xml:space="preserve"> identified as a CSI school under the Lowest Performing Subgroup category </w:t>
            </w:r>
            <w:r w:rsidRPr="00CA096F">
              <w:rPr>
                <w:rFonts w:ascii="Calibri" w:hAnsi="Calibri" w:cs="Calibri"/>
                <w:sz w:val="20"/>
                <w:szCs w:val="20"/>
              </w:rPr>
              <w:t xml:space="preserve">if </w:t>
            </w:r>
            <w:r w:rsidRPr="00CA096F">
              <w:rPr>
                <w:rFonts w:ascii="Calibri" w:hAnsi="Calibri" w:cs="Calibri"/>
                <w:spacing w:val="-1"/>
                <w:sz w:val="20"/>
                <w:szCs w:val="20"/>
              </w:rPr>
              <w:t>the school</w:t>
            </w:r>
            <w:r w:rsidRPr="00CA096F">
              <w:rPr>
                <w:rFonts w:ascii="Calibri" w:hAnsi="Calibri" w:cs="Calibri"/>
                <w:spacing w:val="-2"/>
                <w:sz w:val="20"/>
                <w:szCs w:val="20"/>
              </w:rPr>
              <w:t xml:space="preserve"> </w:t>
            </w:r>
            <w:r w:rsidRPr="00CA096F">
              <w:rPr>
                <w:rFonts w:ascii="Calibri" w:hAnsi="Calibri" w:cs="Calibri"/>
                <w:spacing w:val="-1"/>
                <w:sz w:val="20"/>
                <w:szCs w:val="20"/>
              </w:rPr>
              <w:t>has met the TSI entrance criteria for the same subgroup three years in a row.</w:t>
            </w:r>
          </w:p>
          <w:p w14:paraId="152BEC1B" w14:textId="77777777" w:rsidR="00D1216B" w:rsidRPr="00CA096F" w:rsidRDefault="00D1216B" w:rsidP="00DF1B63">
            <w:pPr>
              <w:pStyle w:val="TableParagraph"/>
              <w:kinsoku w:val="0"/>
              <w:overflowPunct w:val="0"/>
              <w:ind w:right="118"/>
              <w:rPr>
                <w:rFonts w:ascii="Calibri" w:hAnsi="Calibri" w:cs="Calibri"/>
                <w:spacing w:val="-2"/>
                <w:sz w:val="20"/>
                <w:szCs w:val="20"/>
              </w:rPr>
            </w:pPr>
          </w:p>
        </w:tc>
        <w:tc>
          <w:tcPr>
            <w:tcW w:w="2880" w:type="dxa"/>
          </w:tcPr>
          <w:p w14:paraId="510D8792" w14:textId="47CD397D" w:rsidR="00D1216B" w:rsidRPr="00CA096F" w:rsidRDefault="00D1216B" w:rsidP="00DF1B63">
            <w:pPr>
              <w:pStyle w:val="TableParagraph"/>
              <w:kinsoku w:val="0"/>
              <w:overflowPunct w:val="0"/>
              <w:spacing w:line="239" w:lineRule="auto"/>
              <w:ind w:left="70" w:right="165"/>
              <w:rPr>
                <w:rFonts w:ascii="Calibri" w:hAnsi="Calibri" w:cs="Calibri"/>
                <w:sz w:val="20"/>
                <w:szCs w:val="20"/>
              </w:rPr>
            </w:pPr>
            <w:r w:rsidRPr="00CA096F">
              <w:rPr>
                <w:rFonts w:ascii="Calibri" w:hAnsi="Calibri" w:cs="Calibri"/>
                <w:sz w:val="20"/>
                <w:szCs w:val="20"/>
              </w:rPr>
              <w:t xml:space="preserve">A </w:t>
            </w:r>
            <w:r w:rsidRPr="00CA096F">
              <w:rPr>
                <w:rFonts w:ascii="Calibri" w:hAnsi="Calibri" w:cs="Calibri"/>
                <w:spacing w:val="-1"/>
                <w:sz w:val="20"/>
                <w:szCs w:val="20"/>
              </w:rPr>
              <w:t>school</w:t>
            </w:r>
            <w:r w:rsidRPr="00CA096F">
              <w:rPr>
                <w:rFonts w:ascii="Calibri" w:hAnsi="Calibri" w:cs="Calibri"/>
                <w:spacing w:val="-2"/>
                <w:sz w:val="20"/>
                <w:szCs w:val="20"/>
              </w:rPr>
              <w:t xml:space="preserve"> </w:t>
            </w:r>
            <w:r w:rsidRPr="00CA096F">
              <w:rPr>
                <w:rFonts w:ascii="Calibri" w:hAnsi="Calibri" w:cs="Calibri"/>
                <w:sz w:val="20"/>
                <w:szCs w:val="20"/>
              </w:rPr>
              <w:t>may</w:t>
            </w:r>
            <w:r w:rsidRPr="00CA096F">
              <w:rPr>
                <w:rFonts w:ascii="Calibri" w:hAnsi="Calibri" w:cs="Calibri"/>
                <w:spacing w:val="-2"/>
                <w:sz w:val="20"/>
                <w:szCs w:val="20"/>
              </w:rPr>
              <w:t xml:space="preserve"> </w:t>
            </w:r>
            <w:r w:rsidRPr="00CA096F">
              <w:rPr>
                <w:rFonts w:ascii="Calibri" w:hAnsi="Calibri" w:cs="Calibri"/>
                <w:spacing w:val="-1"/>
                <w:sz w:val="20"/>
                <w:szCs w:val="20"/>
              </w:rPr>
              <w:t>exit</w:t>
            </w:r>
            <w:r w:rsidRPr="00CA096F">
              <w:rPr>
                <w:rFonts w:ascii="Calibri" w:hAnsi="Calibri" w:cs="Calibri"/>
                <w:sz w:val="20"/>
                <w:szCs w:val="20"/>
              </w:rPr>
              <w:t xml:space="preserve"> at the end of a year if </w:t>
            </w:r>
            <w:r w:rsidRPr="00CA096F">
              <w:rPr>
                <w:rFonts w:ascii="Calibri" w:hAnsi="Calibri" w:cs="Calibri"/>
                <w:spacing w:val="-1"/>
                <w:sz w:val="20"/>
                <w:szCs w:val="20"/>
              </w:rPr>
              <w:t>the</w:t>
            </w:r>
            <w:r w:rsidRPr="00CA096F">
              <w:rPr>
                <w:rFonts w:ascii="Calibri" w:hAnsi="Calibri" w:cs="Calibri"/>
                <w:spacing w:val="23"/>
                <w:sz w:val="20"/>
                <w:szCs w:val="20"/>
              </w:rPr>
              <w:t xml:space="preserve"> </w:t>
            </w:r>
            <w:r w:rsidRPr="00CA096F">
              <w:rPr>
                <w:rFonts w:ascii="Calibri" w:hAnsi="Calibri" w:cs="Calibri"/>
                <w:spacing w:val="-1"/>
                <w:sz w:val="20"/>
                <w:szCs w:val="20"/>
              </w:rPr>
              <w:t>school</w:t>
            </w:r>
            <w:r w:rsidRPr="00CA096F">
              <w:rPr>
                <w:rFonts w:ascii="Calibri" w:hAnsi="Calibri" w:cs="Calibri"/>
                <w:sz w:val="20"/>
                <w:szCs w:val="20"/>
              </w:rPr>
              <w:t xml:space="preserve"> </w:t>
            </w:r>
            <w:r w:rsidRPr="00CA096F">
              <w:rPr>
                <w:rFonts w:ascii="Calibri" w:hAnsi="Calibri" w:cs="Calibri"/>
                <w:spacing w:val="-1"/>
                <w:sz w:val="20"/>
                <w:szCs w:val="20"/>
              </w:rPr>
              <w:t>no</w:t>
            </w:r>
            <w:r w:rsidRPr="00CA096F">
              <w:rPr>
                <w:rFonts w:ascii="Calibri" w:hAnsi="Calibri" w:cs="Calibri"/>
                <w:spacing w:val="-2"/>
                <w:sz w:val="20"/>
                <w:szCs w:val="20"/>
              </w:rPr>
              <w:t xml:space="preserve"> </w:t>
            </w:r>
            <w:r w:rsidRPr="00CA096F">
              <w:rPr>
                <w:rFonts w:ascii="Calibri" w:hAnsi="Calibri" w:cs="Calibri"/>
                <w:sz w:val="20"/>
                <w:szCs w:val="20"/>
              </w:rPr>
              <w:t>longer</w:t>
            </w:r>
            <w:r w:rsidRPr="00CA096F">
              <w:rPr>
                <w:rFonts w:ascii="Calibri" w:hAnsi="Calibri" w:cs="Calibri"/>
                <w:spacing w:val="-2"/>
                <w:sz w:val="20"/>
                <w:szCs w:val="20"/>
              </w:rPr>
              <w:t xml:space="preserve"> </w:t>
            </w:r>
            <w:r w:rsidRPr="00CA096F">
              <w:rPr>
                <w:rFonts w:ascii="Calibri" w:hAnsi="Calibri" w:cs="Calibri"/>
                <w:spacing w:val="-1"/>
                <w:sz w:val="20"/>
                <w:szCs w:val="20"/>
              </w:rPr>
              <w:t>meets</w:t>
            </w:r>
            <w:r w:rsidRPr="00CA096F">
              <w:rPr>
                <w:rFonts w:ascii="Calibri" w:hAnsi="Calibri" w:cs="Calibri"/>
                <w:sz w:val="20"/>
                <w:szCs w:val="20"/>
              </w:rPr>
              <w:t xml:space="preserve"> </w:t>
            </w:r>
            <w:r w:rsidRPr="00CA096F">
              <w:rPr>
                <w:rFonts w:ascii="Calibri" w:hAnsi="Calibri" w:cs="Calibri"/>
                <w:spacing w:val="-1"/>
                <w:sz w:val="20"/>
                <w:szCs w:val="20"/>
              </w:rPr>
              <w:t>the</w:t>
            </w:r>
            <w:r w:rsidRPr="00CA096F">
              <w:rPr>
                <w:rFonts w:ascii="Calibri" w:hAnsi="Calibri" w:cs="Calibri"/>
                <w:spacing w:val="28"/>
                <w:sz w:val="20"/>
                <w:szCs w:val="20"/>
              </w:rPr>
              <w:t xml:space="preserve"> </w:t>
            </w:r>
            <w:r w:rsidRPr="00CA096F">
              <w:rPr>
                <w:rFonts w:ascii="Calibri" w:hAnsi="Calibri" w:cs="Calibri"/>
                <w:spacing w:val="-1"/>
                <w:sz w:val="20"/>
                <w:szCs w:val="20"/>
              </w:rPr>
              <w:t>entrance</w:t>
            </w:r>
            <w:r w:rsidRPr="00CA096F">
              <w:rPr>
                <w:rFonts w:ascii="Calibri" w:hAnsi="Calibri" w:cs="Calibri"/>
                <w:spacing w:val="-2"/>
                <w:sz w:val="20"/>
                <w:szCs w:val="20"/>
              </w:rPr>
              <w:t xml:space="preserve"> </w:t>
            </w:r>
            <w:r w:rsidRPr="00CA096F">
              <w:rPr>
                <w:rFonts w:ascii="Calibri" w:hAnsi="Calibri" w:cs="Calibri"/>
                <w:sz w:val="20"/>
                <w:szCs w:val="20"/>
              </w:rPr>
              <w:t>criteria</w:t>
            </w:r>
            <w:r w:rsidR="00401F7C" w:rsidRPr="00CA096F">
              <w:rPr>
                <w:rFonts w:ascii="Calibri" w:hAnsi="Calibri" w:cs="Calibri"/>
                <w:sz w:val="20"/>
                <w:szCs w:val="20"/>
              </w:rPr>
              <w:t xml:space="preserve"> and the accountability index value of the subgroup has improved.</w:t>
            </w:r>
          </w:p>
          <w:p w14:paraId="0F16DBFC" w14:textId="77777777" w:rsidR="00D1216B" w:rsidRPr="00CA096F" w:rsidRDefault="00D1216B" w:rsidP="00DF1B63">
            <w:pPr>
              <w:pStyle w:val="TableParagraph"/>
              <w:kinsoku w:val="0"/>
              <w:overflowPunct w:val="0"/>
              <w:rPr>
                <w:rFonts w:ascii="Calibri" w:hAnsi="Calibri" w:cs="Calibri"/>
                <w:sz w:val="20"/>
                <w:szCs w:val="20"/>
              </w:rPr>
            </w:pPr>
          </w:p>
          <w:p w14:paraId="7B021441" w14:textId="77777777" w:rsidR="00D1216B" w:rsidRPr="00CA096F" w:rsidRDefault="00D1216B" w:rsidP="00DF1B63">
            <w:pPr>
              <w:pStyle w:val="TableParagraph"/>
              <w:kinsoku w:val="0"/>
              <w:overflowPunct w:val="0"/>
              <w:ind w:right="117"/>
              <w:rPr>
                <w:sz w:val="20"/>
                <w:szCs w:val="20"/>
              </w:rPr>
            </w:pPr>
          </w:p>
        </w:tc>
      </w:tr>
    </w:tbl>
    <w:p w14:paraId="3C9923E2" w14:textId="77777777" w:rsidR="00D1216B" w:rsidRDefault="00D1216B" w:rsidP="00B83D1C">
      <w:pPr>
        <w:spacing w:after="0"/>
        <w:rPr>
          <w:sz w:val="16"/>
          <w:szCs w:val="16"/>
        </w:rPr>
      </w:pPr>
    </w:p>
    <w:p w14:paraId="61A8B783" w14:textId="77777777" w:rsidR="00D1216B" w:rsidRDefault="00D1216B" w:rsidP="00D1216B">
      <w:pPr>
        <w:widowControl w:val="0"/>
        <w:kinsoku w:val="0"/>
        <w:overflowPunct w:val="0"/>
        <w:autoSpaceDE w:val="0"/>
        <w:autoSpaceDN w:val="0"/>
        <w:adjustRightInd w:val="0"/>
        <w:spacing w:before="4"/>
        <w:rPr>
          <w:rFonts w:ascii="Calibri" w:eastAsiaTheme="minorEastAsia" w:hAnsi="Calibri" w:cs="Calibri"/>
          <w:color w:val="44546A" w:themeColor="text2"/>
        </w:rPr>
      </w:pPr>
      <w:r>
        <w:rPr>
          <w:rFonts w:ascii="Calibri" w:eastAsiaTheme="minorEastAsia" w:hAnsi="Calibri" w:cs="Calibri"/>
          <w:color w:val="44546A" w:themeColor="text2"/>
        </w:rPr>
        <w:t xml:space="preserve">Notes: </w:t>
      </w:r>
    </w:p>
    <w:p w14:paraId="209512D4" w14:textId="77777777" w:rsidR="00D1216B" w:rsidRPr="00774D81" w:rsidRDefault="00D1216B" w:rsidP="006641B6">
      <w:pPr>
        <w:pStyle w:val="TableParagraph"/>
        <w:numPr>
          <w:ilvl w:val="0"/>
          <w:numId w:val="73"/>
        </w:numPr>
        <w:kinsoku w:val="0"/>
        <w:overflowPunct w:val="0"/>
        <w:ind w:right="118"/>
        <w:rPr>
          <w:rFonts w:ascii="Calibri" w:hAnsi="Calibri" w:cs="Calibri"/>
          <w:color w:val="44546A" w:themeColor="text2"/>
          <w:spacing w:val="-2"/>
          <w:sz w:val="22"/>
          <w:szCs w:val="22"/>
        </w:rPr>
      </w:pPr>
      <w:r>
        <w:rPr>
          <w:rFonts w:ascii="Calibri" w:hAnsi="Calibri" w:cs="Calibri"/>
          <w:color w:val="44546A" w:themeColor="text2"/>
          <w:sz w:val="22"/>
          <w:szCs w:val="22"/>
        </w:rPr>
        <w:t xml:space="preserve">A CSI school cannot simultaneously be designated as a TSI school even if the school meets TSI entrance criteria. </w:t>
      </w:r>
    </w:p>
    <w:p w14:paraId="12001A9F" w14:textId="77777777" w:rsidR="00D1216B" w:rsidRPr="00C47550" w:rsidRDefault="00D1216B" w:rsidP="006641B6">
      <w:pPr>
        <w:pStyle w:val="ListParagraph"/>
        <w:widowControl w:val="0"/>
        <w:numPr>
          <w:ilvl w:val="0"/>
          <w:numId w:val="73"/>
        </w:numPr>
        <w:kinsoku w:val="0"/>
        <w:overflowPunct w:val="0"/>
        <w:autoSpaceDE w:val="0"/>
        <w:autoSpaceDN w:val="0"/>
        <w:adjustRightInd w:val="0"/>
        <w:spacing w:before="4" w:after="0" w:line="240" w:lineRule="auto"/>
        <w:rPr>
          <w:rFonts w:ascii="Calibri" w:eastAsiaTheme="minorEastAsia" w:hAnsi="Calibri" w:cs="Calibri"/>
          <w:color w:val="44546A" w:themeColor="text2"/>
        </w:rPr>
      </w:pPr>
      <w:r w:rsidRPr="00C47550">
        <w:rPr>
          <w:rFonts w:ascii="Calibri" w:eastAsiaTheme="minorEastAsia" w:hAnsi="Calibri" w:cs="Calibri"/>
          <w:color w:val="44546A" w:themeColor="text2"/>
        </w:rPr>
        <w:t xml:space="preserve">A CSI school would remain as a CSI school if the school met its corresponding exit condition but was re-identified as a CSI school through a different CSI entrance condition. For example, if a CSI school met the exit conditions for criteria 1, but had a four-year adjusted cohort graduation rate </w:t>
      </w:r>
      <w:r>
        <w:rPr>
          <w:rFonts w:ascii="Calibri" w:eastAsiaTheme="minorEastAsia" w:hAnsi="Calibri" w:cs="Calibri"/>
          <w:color w:val="44546A" w:themeColor="text2"/>
        </w:rPr>
        <w:t xml:space="preserve">less than or equal to </w:t>
      </w:r>
      <w:r w:rsidRPr="00C47550">
        <w:rPr>
          <w:color w:val="44546A" w:themeColor="text2"/>
          <w:spacing w:val="-1"/>
        </w:rPr>
        <w:t>66</w:t>
      </w:r>
      <w:r>
        <w:rPr>
          <w:color w:val="44546A" w:themeColor="text2"/>
          <w:spacing w:val="-1"/>
        </w:rPr>
        <w:t>⅔</w:t>
      </w:r>
      <w:r w:rsidRPr="00C47550">
        <w:rPr>
          <w:color w:val="44546A" w:themeColor="text2"/>
          <w:spacing w:val="-1"/>
        </w:rPr>
        <w:t xml:space="preserve"> %</w:t>
      </w:r>
      <w:r w:rsidRPr="00C47550">
        <w:rPr>
          <w:rFonts w:ascii="Calibri" w:eastAsiaTheme="minorEastAsia" w:hAnsi="Calibri" w:cs="Calibri"/>
          <w:color w:val="44546A" w:themeColor="text2"/>
        </w:rPr>
        <w:t xml:space="preserve">, the school would be re-identified a CSI school until meeting the exit condition for criteria 2. </w:t>
      </w:r>
    </w:p>
    <w:p w14:paraId="0040B89A" w14:textId="77777777" w:rsidR="00D1216B" w:rsidRPr="00977292" w:rsidRDefault="00D1216B" w:rsidP="006641B6">
      <w:pPr>
        <w:pStyle w:val="ListParagraph"/>
        <w:widowControl w:val="0"/>
        <w:numPr>
          <w:ilvl w:val="0"/>
          <w:numId w:val="73"/>
        </w:numPr>
        <w:kinsoku w:val="0"/>
        <w:overflowPunct w:val="0"/>
        <w:autoSpaceDE w:val="0"/>
        <w:autoSpaceDN w:val="0"/>
        <w:adjustRightInd w:val="0"/>
        <w:spacing w:before="4" w:after="0" w:line="240" w:lineRule="auto"/>
        <w:rPr>
          <w:rFonts w:ascii="Calibri" w:eastAsiaTheme="minorEastAsia" w:hAnsi="Calibri" w:cs="Calibri"/>
          <w:color w:val="44546A" w:themeColor="text2"/>
          <w:sz w:val="16"/>
          <w:szCs w:val="16"/>
        </w:rPr>
      </w:pPr>
      <w:r w:rsidRPr="00C47550">
        <w:rPr>
          <w:rFonts w:ascii="Calibri" w:eastAsiaTheme="minorEastAsia" w:hAnsi="Calibri" w:cs="Calibri"/>
          <w:color w:val="44546A" w:themeColor="text2"/>
        </w:rPr>
        <w:t xml:space="preserve">While a CSI school cannot be simultaneously designated as a TSI school, a CSI school could exit from a CSI designation and be identified as a TSI designation if the school meets the CSI exit criteria and also meets the TSI entrance criteria. In a similar manner, a CSI school would be re-identified as a CSI school if the corresponding CSI exit conditions had been met but the school had met the TSI entrance conditions for the last three consecutive years through criteria 3. </w:t>
      </w:r>
    </w:p>
    <w:p w14:paraId="33B6B083" w14:textId="600DA3E4" w:rsidR="00F11DB4" w:rsidRPr="00C47550" w:rsidRDefault="00F11DB4" w:rsidP="006641B6">
      <w:pPr>
        <w:pStyle w:val="ListParagraph"/>
        <w:widowControl w:val="0"/>
        <w:numPr>
          <w:ilvl w:val="0"/>
          <w:numId w:val="73"/>
        </w:numPr>
        <w:kinsoku w:val="0"/>
        <w:overflowPunct w:val="0"/>
        <w:autoSpaceDE w:val="0"/>
        <w:autoSpaceDN w:val="0"/>
        <w:adjustRightInd w:val="0"/>
        <w:spacing w:before="4" w:after="0" w:line="240" w:lineRule="auto"/>
        <w:rPr>
          <w:rFonts w:ascii="Calibri" w:eastAsiaTheme="minorEastAsia" w:hAnsi="Calibri" w:cs="Calibri"/>
          <w:color w:val="44546A" w:themeColor="text2"/>
          <w:sz w:val="16"/>
          <w:szCs w:val="16"/>
        </w:rPr>
      </w:pPr>
      <w:r>
        <w:rPr>
          <w:rFonts w:ascii="Calibri" w:eastAsiaTheme="minorEastAsia" w:hAnsi="Calibri" w:cs="Calibri"/>
          <w:color w:val="44546A" w:themeColor="text2"/>
        </w:rPr>
        <w:t>Small schools that do not have an index score will be designated as Small School CSI or Small School TSI, as applicable, based on the small school performance review as described in Section A.4.v.c.</w:t>
      </w:r>
    </w:p>
    <w:p w14:paraId="360B694A" w14:textId="77777777" w:rsidR="007E1296" w:rsidRDefault="007E1296">
      <w:r>
        <w:br w:type="page"/>
      </w:r>
    </w:p>
    <w:p w14:paraId="6931912A" w14:textId="77777777" w:rsidR="00C7105E" w:rsidRPr="00EC50F4" w:rsidRDefault="00C7105E" w:rsidP="00CA096F">
      <w:pPr>
        <w:pStyle w:val="Default"/>
        <w:numPr>
          <w:ilvl w:val="0"/>
          <w:numId w:val="35"/>
        </w:numPr>
        <w:spacing w:after="120"/>
        <w:ind w:left="1440"/>
        <w:rPr>
          <w:rFonts w:ascii="Calibri" w:hAnsi="Calibri"/>
        </w:rPr>
      </w:pPr>
      <w:r w:rsidRPr="00697AC2">
        <w:rPr>
          <w:rFonts w:ascii="Calibri" w:hAnsi="Calibri"/>
          <w:sz w:val="22"/>
          <w:szCs w:val="22"/>
          <w:u w:val="single"/>
        </w:rPr>
        <w:lastRenderedPageBreak/>
        <w:t>Comprehensive Support and Improvement Schools</w:t>
      </w:r>
      <w:r w:rsidRPr="00697AC2">
        <w:rPr>
          <w:rFonts w:ascii="Calibri" w:hAnsi="Calibri"/>
          <w:sz w:val="22"/>
          <w:szCs w:val="22"/>
        </w:rPr>
        <w:t>. Describe the State’s methodology for identifying not less than the lowest-</w:t>
      </w:r>
      <w:r w:rsidRPr="00697AC2">
        <w:rPr>
          <w:rFonts w:ascii="Calibri" w:hAnsi="Calibri"/>
          <w:color w:val="auto"/>
          <w:sz w:val="22"/>
          <w:szCs w:val="22"/>
        </w:rPr>
        <w:t>p</w:t>
      </w:r>
      <w:r>
        <w:rPr>
          <w:rFonts w:ascii="Calibri" w:hAnsi="Calibri"/>
          <w:color w:val="auto"/>
          <w:sz w:val="22"/>
          <w:szCs w:val="22"/>
        </w:rPr>
        <w:t xml:space="preserve">erforming five percent of all </w:t>
      </w:r>
      <w:r w:rsidRPr="00697AC2">
        <w:rPr>
          <w:rFonts w:ascii="Calibri" w:hAnsi="Calibri"/>
          <w:color w:val="auto"/>
          <w:sz w:val="22"/>
          <w:szCs w:val="22"/>
        </w:rPr>
        <w:t>schools receiving Title I, Part A funds in the State for compreh</w:t>
      </w:r>
      <w:r>
        <w:rPr>
          <w:rFonts w:ascii="Calibri" w:hAnsi="Calibri"/>
          <w:color w:val="auto"/>
          <w:sz w:val="22"/>
          <w:szCs w:val="22"/>
        </w:rPr>
        <w:t xml:space="preserve">ensive support and </w:t>
      </w:r>
      <w:r w:rsidRPr="00697AC2">
        <w:rPr>
          <w:rFonts w:ascii="Calibri" w:hAnsi="Calibri"/>
          <w:color w:val="auto"/>
          <w:sz w:val="22"/>
          <w:szCs w:val="22"/>
        </w:rPr>
        <w:t xml:space="preserve">improvement, including the year in which the State will first identify such schools. </w:t>
      </w:r>
    </w:p>
    <w:p w14:paraId="2D9AF577" w14:textId="77777777" w:rsidR="00C7105E" w:rsidRPr="00CA096F" w:rsidRDefault="00C7105E" w:rsidP="00CA096F">
      <w:pPr>
        <w:rPr>
          <w:b/>
          <w:bCs/>
          <w:i/>
        </w:rPr>
      </w:pPr>
      <w:r w:rsidRPr="00CA096F">
        <w:rPr>
          <w:i/>
        </w:rPr>
        <w:t xml:space="preserve">Title </w:t>
      </w:r>
      <w:proofErr w:type="gramStart"/>
      <w:r w:rsidRPr="00CA096F">
        <w:rPr>
          <w:i/>
        </w:rPr>
        <w:t>I</w:t>
      </w:r>
      <w:proofErr w:type="gramEnd"/>
      <w:r w:rsidRPr="00CA096F">
        <w:rPr>
          <w:i/>
        </w:rPr>
        <w:t xml:space="preserve"> Schools Only:</w:t>
      </w:r>
    </w:p>
    <w:p w14:paraId="2CC79DB7" w14:textId="2324FA7B" w:rsidR="00C7105E" w:rsidRPr="00697AC2" w:rsidRDefault="00C7105E" w:rsidP="008A7E6F">
      <w:pPr>
        <w:pStyle w:val="BodyText"/>
        <w:tabs>
          <w:tab w:val="left" w:pos="1241"/>
        </w:tabs>
        <w:spacing w:line="262" w:lineRule="exact"/>
        <w:rPr>
          <w:rFonts w:ascii="Calibri" w:hAnsi="Calibri"/>
        </w:rPr>
      </w:pPr>
      <w:r w:rsidRPr="00B83D1C">
        <w:t xml:space="preserve">As </w:t>
      </w:r>
      <w:r w:rsidRPr="00B83D1C">
        <w:rPr>
          <w:spacing w:val="-1"/>
        </w:rPr>
        <w:t>described</w:t>
      </w:r>
      <w:r w:rsidRPr="00B83D1C">
        <w:t xml:space="preserve"> </w:t>
      </w:r>
      <w:r w:rsidRPr="00B83D1C">
        <w:rPr>
          <w:spacing w:val="-1"/>
        </w:rPr>
        <w:t>above,</w:t>
      </w:r>
      <w:r w:rsidRPr="00B83D1C">
        <w:t xml:space="preserve"> </w:t>
      </w:r>
      <w:r w:rsidRPr="00B83D1C">
        <w:rPr>
          <w:spacing w:val="-1"/>
        </w:rPr>
        <w:t>schools</w:t>
      </w:r>
      <w:r w:rsidRPr="00B83D1C">
        <w:t xml:space="preserve"> </w:t>
      </w:r>
      <w:r w:rsidRPr="00B83D1C">
        <w:rPr>
          <w:spacing w:val="-1"/>
        </w:rPr>
        <w:t>will</w:t>
      </w:r>
      <w:r w:rsidRPr="00B83D1C">
        <w:t xml:space="preserve"> </w:t>
      </w:r>
      <w:r w:rsidRPr="00B83D1C">
        <w:rPr>
          <w:spacing w:val="-1"/>
        </w:rPr>
        <w:t>be</w:t>
      </w:r>
      <w:r w:rsidRPr="00B83D1C">
        <w:rPr>
          <w:spacing w:val="-3"/>
        </w:rPr>
        <w:t xml:space="preserve"> </w:t>
      </w:r>
      <w:r w:rsidRPr="00B83D1C">
        <w:rPr>
          <w:spacing w:val="-1"/>
        </w:rPr>
        <w:t>identified for</w:t>
      </w:r>
      <w:r w:rsidRPr="00B83D1C">
        <w:t xml:space="preserve"> </w:t>
      </w:r>
      <w:r w:rsidRPr="00B83D1C">
        <w:rPr>
          <w:spacing w:val="-1"/>
        </w:rPr>
        <w:t>CSI</w:t>
      </w:r>
      <w:r w:rsidRPr="00B83D1C">
        <w:rPr>
          <w:spacing w:val="-3"/>
        </w:rPr>
        <w:t xml:space="preserve"> </w:t>
      </w:r>
      <w:r w:rsidRPr="00B83D1C">
        <w:rPr>
          <w:spacing w:val="-1"/>
        </w:rPr>
        <w:t>support</w:t>
      </w:r>
      <w:r w:rsidRPr="00B83D1C">
        <w:t xml:space="preserve"> </w:t>
      </w:r>
      <w:r w:rsidRPr="00B83D1C">
        <w:rPr>
          <w:spacing w:val="-1"/>
        </w:rPr>
        <w:t>(lowest</w:t>
      </w:r>
      <w:r w:rsidRPr="00B83D1C">
        <w:rPr>
          <w:spacing w:val="-2"/>
        </w:rPr>
        <w:t xml:space="preserve"> </w:t>
      </w:r>
      <w:r w:rsidRPr="00B83D1C">
        <w:t>5%</w:t>
      </w:r>
      <w:r w:rsidRPr="00B83D1C">
        <w:rPr>
          <w:spacing w:val="-2"/>
        </w:rPr>
        <w:t xml:space="preserve"> </w:t>
      </w:r>
      <w:r w:rsidRPr="00B83D1C">
        <w:rPr>
          <w:spacing w:val="-1"/>
        </w:rPr>
        <w:t>criteria)</w:t>
      </w:r>
      <w:r w:rsidRPr="00B83D1C">
        <w:rPr>
          <w:spacing w:val="-2"/>
        </w:rPr>
        <w:t xml:space="preserve"> </w:t>
      </w:r>
      <w:r w:rsidRPr="00B83D1C">
        <w:t>if, when</w:t>
      </w:r>
      <w:r w:rsidRPr="00B83D1C">
        <w:rPr>
          <w:spacing w:val="-1"/>
        </w:rPr>
        <w:t xml:space="preserve"> ranked according</w:t>
      </w:r>
      <w:r w:rsidRPr="00B83D1C">
        <w:rPr>
          <w:spacing w:val="77"/>
        </w:rPr>
        <w:t xml:space="preserve"> </w:t>
      </w:r>
      <w:r w:rsidRPr="00B83D1C">
        <w:t>to</w:t>
      </w:r>
      <w:r w:rsidRPr="00B83D1C">
        <w:rPr>
          <w:spacing w:val="-1"/>
        </w:rPr>
        <w:t xml:space="preserve"> </w:t>
      </w:r>
      <w:r w:rsidRPr="00B83D1C">
        <w:t xml:space="preserve">their </w:t>
      </w:r>
      <w:r w:rsidRPr="00B83D1C">
        <w:rPr>
          <w:spacing w:val="-1"/>
        </w:rPr>
        <w:t xml:space="preserve">accountability index value, they </w:t>
      </w:r>
      <w:r w:rsidRPr="00B83D1C">
        <w:t>are</w:t>
      </w:r>
      <w:r w:rsidRPr="00B83D1C">
        <w:rPr>
          <w:spacing w:val="-3"/>
        </w:rPr>
        <w:t xml:space="preserve"> </w:t>
      </w:r>
      <w:r w:rsidRPr="00B83D1C">
        <w:rPr>
          <w:spacing w:val="-1"/>
        </w:rPr>
        <w:t xml:space="preserve">among </w:t>
      </w:r>
      <w:r w:rsidRPr="00B83D1C">
        <w:rPr>
          <w:spacing w:val="-2"/>
        </w:rPr>
        <w:t>the</w:t>
      </w:r>
      <w:r w:rsidRPr="00B83D1C">
        <w:t xml:space="preserve"> </w:t>
      </w:r>
      <w:r w:rsidRPr="00B83D1C">
        <w:rPr>
          <w:spacing w:val="-1"/>
        </w:rPr>
        <w:t>lowest</w:t>
      </w:r>
      <w:r w:rsidRPr="00B83D1C">
        <w:t xml:space="preserve"> </w:t>
      </w:r>
      <w:r w:rsidRPr="00B83D1C">
        <w:rPr>
          <w:spacing w:val="-1"/>
        </w:rPr>
        <w:t>performing Title I schools</w:t>
      </w:r>
      <w:r w:rsidRPr="00B83D1C">
        <w:rPr>
          <w:spacing w:val="-3"/>
        </w:rPr>
        <w:t xml:space="preserve"> </w:t>
      </w:r>
      <w:r w:rsidRPr="00B83D1C">
        <w:rPr>
          <w:spacing w:val="-1"/>
        </w:rPr>
        <w:t>that</w:t>
      </w:r>
      <w:r w:rsidRPr="00B83D1C">
        <w:t xml:space="preserve"> </w:t>
      </w:r>
      <w:r w:rsidRPr="00B83D1C">
        <w:rPr>
          <w:spacing w:val="-1"/>
        </w:rPr>
        <w:t>represent</w:t>
      </w:r>
      <w:r w:rsidRPr="00B83D1C">
        <w:rPr>
          <w:spacing w:val="-2"/>
        </w:rPr>
        <w:t xml:space="preserve"> </w:t>
      </w:r>
      <w:r w:rsidRPr="00B83D1C">
        <w:t>5%</w:t>
      </w:r>
      <w:r w:rsidRPr="00B83D1C">
        <w:rPr>
          <w:spacing w:val="-2"/>
        </w:rPr>
        <w:t xml:space="preserve"> </w:t>
      </w:r>
      <w:r w:rsidRPr="00B83D1C">
        <w:t>of</w:t>
      </w:r>
      <w:r w:rsidRPr="00B83D1C">
        <w:rPr>
          <w:spacing w:val="-2"/>
        </w:rPr>
        <w:t xml:space="preserve"> </w:t>
      </w:r>
      <w:r w:rsidRPr="00B83D1C">
        <w:t>all Title I</w:t>
      </w:r>
      <w:r w:rsidRPr="00B83D1C">
        <w:rPr>
          <w:spacing w:val="59"/>
        </w:rPr>
        <w:t xml:space="preserve"> </w:t>
      </w:r>
      <w:r w:rsidRPr="00B83D1C">
        <w:rPr>
          <w:spacing w:val="-1"/>
        </w:rPr>
        <w:t>schools</w:t>
      </w:r>
      <w:r w:rsidRPr="00B83D1C">
        <w:t xml:space="preserve"> </w:t>
      </w:r>
      <w:r w:rsidRPr="00B83D1C">
        <w:rPr>
          <w:spacing w:val="-1"/>
        </w:rPr>
        <w:t>with an accountability index value.</w:t>
      </w:r>
      <w:r w:rsidRPr="00B83D1C">
        <w:t xml:space="preserve"> </w:t>
      </w:r>
      <w:r w:rsidRPr="00B83D1C">
        <w:rPr>
          <w:spacing w:val="-1"/>
        </w:rPr>
        <w:t>These</w:t>
      </w:r>
      <w:r w:rsidRPr="00B83D1C">
        <w:t xml:space="preserve"> </w:t>
      </w:r>
      <w:r w:rsidRPr="00B83D1C">
        <w:rPr>
          <w:spacing w:val="-1"/>
        </w:rPr>
        <w:t>schools</w:t>
      </w:r>
      <w:r w:rsidRPr="00B83D1C">
        <w:rPr>
          <w:spacing w:val="-2"/>
        </w:rPr>
        <w:t xml:space="preserve"> </w:t>
      </w:r>
      <w:r w:rsidRPr="00B83D1C">
        <w:t xml:space="preserve">will </w:t>
      </w:r>
      <w:r w:rsidRPr="00B83D1C">
        <w:rPr>
          <w:spacing w:val="-1"/>
        </w:rPr>
        <w:t>be</w:t>
      </w:r>
      <w:r w:rsidRPr="00B83D1C">
        <w:rPr>
          <w:spacing w:val="-2"/>
        </w:rPr>
        <w:t xml:space="preserve"> </w:t>
      </w:r>
      <w:r w:rsidRPr="00B83D1C">
        <w:rPr>
          <w:spacing w:val="-1"/>
        </w:rPr>
        <w:t>first</w:t>
      </w:r>
      <w:r w:rsidRPr="00B83D1C">
        <w:rPr>
          <w:spacing w:val="1"/>
        </w:rPr>
        <w:t xml:space="preserve"> </w:t>
      </w:r>
      <w:r w:rsidRPr="00B83D1C">
        <w:rPr>
          <w:spacing w:val="-1"/>
        </w:rPr>
        <w:t>identified</w:t>
      </w:r>
      <w:r w:rsidRPr="00B83D1C">
        <w:t xml:space="preserve"> in</w:t>
      </w:r>
      <w:r w:rsidRPr="00B83D1C">
        <w:rPr>
          <w:spacing w:val="-1"/>
        </w:rPr>
        <w:t xml:space="preserve"> 2018-19</w:t>
      </w:r>
      <w:r w:rsidRPr="00B83D1C">
        <w:rPr>
          <w:spacing w:val="-2"/>
        </w:rPr>
        <w:t xml:space="preserve"> </w:t>
      </w:r>
      <w:r w:rsidRPr="00B83D1C">
        <w:rPr>
          <w:spacing w:val="-1"/>
        </w:rPr>
        <w:t>for</w:t>
      </w:r>
      <w:r w:rsidRPr="00B83D1C">
        <w:t xml:space="preserve"> </w:t>
      </w:r>
      <w:r w:rsidRPr="00B83D1C">
        <w:rPr>
          <w:spacing w:val="-1"/>
        </w:rPr>
        <w:t>support</w:t>
      </w:r>
      <w:r>
        <w:rPr>
          <w:spacing w:val="-1"/>
        </w:rPr>
        <w:t xml:space="preserve"> and notified</w:t>
      </w:r>
      <w:r w:rsidRPr="00B83D1C">
        <w:t xml:space="preserve"> in</w:t>
      </w:r>
      <w:r w:rsidRPr="00B83D1C">
        <w:rPr>
          <w:spacing w:val="-1"/>
        </w:rPr>
        <w:t xml:space="preserve"> the</w:t>
      </w:r>
      <w:r w:rsidRPr="00B83D1C">
        <w:rPr>
          <w:spacing w:val="-2"/>
        </w:rPr>
        <w:t xml:space="preserve"> </w:t>
      </w:r>
      <w:r w:rsidRPr="00B83D1C">
        <w:rPr>
          <w:spacing w:val="-1"/>
        </w:rPr>
        <w:t>fall</w:t>
      </w:r>
      <w:r w:rsidRPr="00B83D1C">
        <w:rPr>
          <w:spacing w:val="-2"/>
        </w:rPr>
        <w:t xml:space="preserve"> </w:t>
      </w:r>
      <w:r w:rsidRPr="00B83D1C">
        <w:t>of</w:t>
      </w:r>
      <w:r>
        <w:rPr>
          <w:spacing w:val="73"/>
        </w:rPr>
        <w:t xml:space="preserve"> </w:t>
      </w:r>
      <w:r w:rsidRPr="00B83D1C">
        <w:rPr>
          <w:spacing w:val="-1"/>
        </w:rPr>
        <w:t xml:space="preserve">2018. </w:t>
      </w:r>
      <w:r>
        <w:rPr>
          <w:spacing w:val="-1"/>
        </w:rPr>
        <w:t xml:space="preserve">Small schools for which an accountability index score cannot be calculated will be designated as Small School Comprehensive Support and Improvement, as applicable, based on the small school performance review as described in Section A.4.v.c. </w:t>
      </w:r>
    </w:p>
    <w:p w14:paraId="00FA33E6" w14:textId="77777777" w:rsidR="00C7105E" w:rsidRPr="00697AC2" w:rsidRDefault="00C7105E" w:rsidP="00CA096F">
      <w:pPr>
        <w:pStyle w:val="Default"/>
        <w:numPr>
          <w:ilvl w:val="0"/>
          <w:numId w:val="35"/>
        </w:numPr>
        <w:spacing w:after="120"/>
        <w:ind w:left="1440"/>
        <w:rPr>
          <w:rFonts w:ascii="Calibri" w:hAnsi="Calibri"/>
          <w:sz w:val="22"/>
          <w:szCs w:val="22"/>
        </w:rPr>
      </w:pPr>
      <w:r w:rsidRPr="00697AC2">
        <w:rPr>
          <w:rFonts w:ascii="Calibri" w:hAnsi="Calibri"/>
          <w:sz w:val="22"/>
          <w:szCs w:val="22"/>
          <w:u w:val="single"/>
        </w:rPr>
        <w:t>Comprehensive Support and Improvement Schools</w:t>
      </w:r>
      <w:r w:rsidRPr="00697AC2">
        <w:rPr>
          <w:rFonts w:ascii="Calibri" w:hAnsi="Calibri"/>
          <w:sz w:val="22"/>
          <w:szCs w:val="22"/>
        </w:rPr>
        <w:t xml:space="preserve">. Describe the State’s methodology for identifying all public high schools in the </w:t>
      </w:r>
      <w:r>
        <w:rPr>
          <w:rFonts w:ascii="Calibri" w:hAnsi="Calibri"/>
          <w:sz w:val="22"/>
          <w:szCs w:val="22"/>
        </w:rPr>
        <w:t xml:space="preserve">State failing to graduate one </w:t>
      </w:r>
      <w:r w:rsidRPr="00697AC2">
        <w:rPr>
          <w:rFonts w:ascii="Calibri" w:hAnsi="Calibri"/>
          <w:sz w:val="22"/>
          <w:szCs w:val="22"/>
        </w:rPr>
        <w:t>third or more of their students for comprehensive suppo</w:t>
      </w:r>
      <w:r>
        <w:rPr>
          <w:rFonts w:ascii="Calibri" w:hAnsi="Calibri"/>
          <w:sz w:val="22"/>
          <w:szCs w:val="22"/>
        </w:rPr>
        <w:t xml:space="preserve">rt and improvement, including </w:t>
      </w:r>
      <w:r w:rsidRPr="00697AC2">
        <w:rPr>
          <w:rFonts w:ascii="Calibri" w:hAnsi="Calibri"/>
          <w:sz w:val="22"/>
          <w:szCs w:val="22"/>
        </w:rPr>
        <w:t xml:space="preserve">the year in which the State will first identify such schools. </w:t>
      </w:r>
    </w:p>
    <w:p w14:paraId="066EFA47" w14:textId="77777777" w:rsidR="00C7105E" w:rsidRPr="00CA096F" w:rsidRDefault="00C7105E" w:rsidP="00CA096F">
      <w:pPr>
        <w:rPr>
          <w:b/>
          <w:bCs/>
          <w:i/>
        </w:rPr>
      </w:pPr>
      <w:r w:rsidRPr="00CA096F">
        <w:rPr>
          <w:i/>
        </w:rPr>
        <w:t>All</w:t>
      </w:r>
      <w:r w:rsidRPr="00CA096F">
        <w:rPr>
          <w:i/>
          <w:spacing w:val="-2"/>
        </w:rPr>
        <w:t xml:space="preserve"> </w:t>
      </w:r>
      <w:r w:rsidRPr="00CA096F">
        <w:rPr>
          <w:i/>
        </w:rPr>
        <w:t>High Schools:</w:t>
      </w:r>
    </w:p>
    <w:p w14:paraId="6A84397D" w14:textId="3E3FFC45" w:rsidR="00C7105E" w:rsidRDefault="00C7105E" w:rsidP="00D1216B">
      <w:pPr>
        <w:rPr>
          <w:spacing w:val="-1"/>
        </w:rPr>
      </w:pPr>
      <w:r w:rsidRPr="001673F0">
        <w:t xml:space="preserve">As </w:t>
      </w:r>
      <w:r w:rsidRPr="001673F0">
        <w:rPr>
          <w:spacing w:val="-1"/>
        </w:rPr>
        <w:t>described</w:t>
      </w:r>
      <w:r w:rsidRPr="001673F0">
        <w:t xml:space="preserve"> </w:t>
      </w:r>
      <w:r w:rsidRPr="001673F0">
        <w:rPr>
          <w:spacing w:val="-1"/>
        </w:rPr>
        <w:t>above,</w:t>
      </w:r>
      <w:r w:rsidRPr="001673F0">
        <w:t xml:space="preserve"> </w:t>
      </w:r>
      <w:r w:rsidRPr="001673F0">
        <w:rPr>
          <w:spacing w:val="-1"/>
        </w:rPr>
        <w:t>schools</w:t>
      </w:r>
      <w:r w:rsidRPr="001673F0">
        <w:t xml:space="preserve"> </w:t>
      </w:r>
      <w:r w:rsidRPr="001673F0">
        <w:rPr>
          <w:spacing w:val="-1"/>
        </w:rPr>
        <w:t>will</w:t>
      </w:r>
      <w:r w:rsidRPr="001673F0">
        <w:t xml:space="preserve"> </w:t>
      </w:r>
      <w:r w:rsidRPr="001673F0">
        <w:rPr>
          <w:spacing w:val="-1"/>
        </w:rPr>
        <w:t>be</w:t>
      </w:r>
      <w:r w:rsidRPr="001673F0">
        <w:rPr>
          <w:spacing w:val="-3"/>
        </w:rPr>
        <w:t xml:space="preserve"> </w:t>
      </w:r>
      <w:r w:rsidRPr="001673F0">
        <w:rPr>
          <w:spacing w:val="-1"/>
        </w:rPr>
        <w:t>identified for</w:t>
      </w:r>
      <w:r w:rsidRPr="001673F0">
        <w:t xml:space="preserve"> </w:t>
      </w:r>
      <w:r w:rsidRPr="001673F0">
        <w:rPr>
          <w:spacing w:val="-1"/>
        </w:rPr>
        <w:t>CSI</w:t>
      </w:r>
      <w:r w:rsidRPr="001673F0">
        <w:rPr>
          <w:spacing w:val="-3"/>
        </w:rPr>
        <w:t xml:space="preserve"> </w:t>
      </w:r>
      <w:r w:rsidRPr="001673F0">
        <w:rPr>
          <w:spacing w:val="-1"/>
        </w:rPr>
        <w:t>support</w:t>
      </w:r>
      <w:r w:rsidRPr="001673F0">
        <w:t xml:space="preserve"> </w:t>
      </w:r>
      <w:r w:rsidRPr="001673F0">
        <w:rPr>
          <w:spacing w:val="-1"/>
        </w:rPr>
        <w:t>(low</w:t>
      </w:r>
      <w:r w:rsidRPr="001673F0">
        <w:rPr>
          <w:spacing w:val="1"/>
        </w:rPr>
        <w:t xml:space="preserve"> </w:t>
      </w:r>
      <w:r w:rsidRPr="001673F0">
        <w:rPr>
          <w:spacing w:val="-1"/>
        </w:rPr>
        <w:t xml:space="preserve">graduation </w:t>
      </w:r>
      <w:r w:rsidRPr="001673F0">
        <w:rPr>
          <w:spacing w:val="-2"/>
        </w:rPr>
        <w:t>rate</w:t>
      </w:r>
      <w:r w:rsidRPr="001673F0">
        <w:t xml:space="preserve"> </w:t>
      </w:r>
      <w:r w:rsidRPr="001673F0">
        <w:rPr>
          <w:spacing w:val="-1"/>
        </w:rPr>
        <w:t xml:space="preserve">criteria) </w:t>
      </w:r>
      <w:r w:rsidRPr="001673F0">
        <w:t>if</w:t>
      </w:r>
      <w:r w:rsidRPr="001673F0">
        <w:rPr>
          <w:spacing w:val="-2"/>
        </w:rPr>
        <w:t xml:space="preserve"> </w:t>
      </w:r>
      <w:r w:rsidRPr="001673F0">
        <w:t>they</w:t>
      </w:r>
      <w:r w:rsidRPr="001673F0">
        <w:rPr>
          <w:spacing w:val="-2"/>
        </w:rPr>
        <w:t xml:space="preserve"> </w:t>
      </w:r>
      <w:r w:rsidRPr="001673F0">
        <w:t>have a</w:t>
      </w:r>
      <w:r w:rsidRPr="001673F0">
        <w:rPr>
          <w:spacing w:val="75"/>
        </w:rPr>
        <w:t xml:space="preserve"> </w:t>
      </w:r>
      <w:r w:rsidRPr="001673F0">
        <w:rPr>
          <w:spacing w:val="-1"/>
        </w:rPr>
        <w:t>four-year</w:t>
      </w:r>
      <w:r w:rsidRPr="001673F0">
        <w:t xml:space="preserve"> </w:t>
      </w:r>
      <w:r w:rsidRPr="001673F0">
        <w:rPr>
          <w:spacing w:val="-1"/>
        </w:rPr>
        <w:t>adjusted</w:t>
      </w:r>
      <w:r w:rsidRPr="001673F0">
        <w:rPr>
          <w:spacing w:val="-3"/>
        </w:rPr>
        <w:t xml:space="preserve"> </w:t>
      </w:r>
      <w:r w:rsidRPr="001673F0">
        <w:rPr>
          <w:spacing w:val="-1"/>
        </w:rPr>
        <w:t>cohort</w:t>
      </w:r>
      <w:r w:rsidRPr="001673F0">
        <w:rPr>
          <w:spacing w:val="-2"/>
        </w:rPr>
        <w:t xml:space="preserve"> </w:t>
      </w:r>
      <w:r w:rsidRPr="001673F0">
        <w:rPr>
          <w:spacing w:val="-1"/>
        </w:rPr>
        <w:t>graduation rate</w:t>
      </w:r>
      <w:r w:rsidRPr="001673F0">
        <w:rPr>
          <w:spacing w:val="2"/>
        </w:rPr>
        <w:t xml:space="preserve"> </w:t>
      </w:r>
      <w:r w:rsidRPr="001673F0">
        <w:rPr>
          <w:spacing w:val="-1"/>
        </w:rPr>
        <w:t>less</w:t>
      </w:r>
      <w:r w:rsidRPr="001673F0">
        <w:t xml:space="preserve"> </w:t>
      </w:r>
      <w:r w:rsidRPr="001673F0">
        <w:rPr>
          <w:spacing w:val="-1"/>
        </w:rPr>
        <w:t>than</w:t>
      </w:r>
      <w:r w:rsidRPr="001673F0">
        <w:t xml:space="preserve"> </w:t>
      </w:r>
      <w:r>
        <w:t xml:space="preserve">or equal to </w:t>
      </w:r>
      <w:r w:rsidRPr="001673F0">
        <w:rPr>
          <w:spacing w:val="-1"/>
        </w:rPr>
        <w:t>66⅔%.</w:t>
      </w:r>
      <w:r w:rsidRPr="001673F0">
        <w:rPr>
          <w:spacing w:val="-2"/>
        </w:rPr>
        <w:t xml:space="preserve"> </w:t>
      </w:r>
      <w:r w:rsidRPr="00B83D1C">
        <w:rPr>
          <w:spacing w:val="-1"/>
        </w:rPr>
        <w:t>These</w:t>
      </w:r>
      <w:r w:rsidRPr="00B83D1C">
        <w:t xml:space="preserve"> </w:t>
      </w:r>
      <w:r w:rsidRPr="00B83D1C">
        <w:rPr>
          <w:spacing w:val="-1"/>
        </w:rPr>
        <w:t>schools</w:t>
      </w:r>
      <w:r w:rsidRPr="00B83D1C">
        <w:rPr>
          <w:spacing w:val="-2"/>
        </w:rPr>
        <w:t xml:space="preserve"> </w:t>
      </w:r>
      <w:r w:rsidRPr="00B83D1C">
        <w:t xml:space="preserve">will </w:t>
      </w:r>
      <w:r w:rsidRPr="00B83D1C">
        <w:rPr>
          <w:spacing w:val="-1"/>
        </w:rPr>
        <w:t>be</w:t>
      </w:r>
      <w:r w:rsidRPr="00B83D1C">
        <w:rPr>
          <w:spacing w:val="-2"/>
        </w:rPr>
        <w:t xml:space="preserve"> </w:t>
      </w:r>
      <w:r w:rsidRPr="00B83D1C">
        <w:rPr>
          <w:spacing w:val="-1"/>
        </w:rPr>
        <w:t>first</w:t>
      </w:r>
      <w:r w:rsidRPr="00B83D1C">
        <w:rPr>
          <w:spacing w:val="1"/>
        </w:rPr>
        <w:t xml:space="preserve"> </w:t>
      </w:r>
      <w:r w:rsidRPr="00B83D1C">
        <w:rPr>
          <w:spacing w:val="-1"/>
        </w:rPr>
        <w:t>identified</w:t>
      </w:r>
      <w:r w:rsidRPr="00B83D1C">
        <w:t xml:space="preserve"> in</w:t>
      </w:r>
      <w:r w:rsidRPr="00B83D1C">
        <w:rPr>
          <w:spacing w:val="-1"/>
        </w:rPr>
        <w:t xml:space="preserve"> 2018-19</w:t>
      </w:r>
      <w:r w:rsidRPr="00B83D1C">
        <w:rPr>
          <w:spacing w:val="-2"/>
        </w:rPr>
        <w:t xml:space="preserve"> </w:t>
      </w:r>
      <w:r w:rsidRPr="00B83D1C">
        <w:rPr>
          <w:spacing w:val="-1"/>
        </w:rPr>
        <w:t>for</w:t>
      </w:r>
      <w:r w:rsidRPr="00B83D1C">
        <w:t xml:space="preserve"> </w:t>
      </w:r>
      <w:r w:rsidRPr="00B83D1C">
        <w:rPr>
          <w:spacing w:val="-1"/>
        </w:rPr>
        <w:t>support</w:t>
      </w:r>
      <w:r>
        <w:rPr>
          <w:spacing w:val="-1"/>
        </w:rPr>
        <w:t xml:space="preserve"> and notified</w:t>
      </w:r>
      <w:r w:rsidRPr="00B83D1C">
        <w:t xml:space="preserve"> in</w:t>
      </w:r>
      <w:r w:rsidRPr="00B83D1C">
        <w:rPr>
          <w:spacing w:val="-1"/>
        </w:rPr>
        <w:t xml:space="preserve"> the</w:t>
      </w:r>
      <w:r w:rsidRPr="00B83D1C">
        <w:rPr>
          <w:spacing w:val="-2"/>
        </w:rPr>
        <w:t xml:space="preserve"> </w:t>
      </w:r>
      <w:r w:rsidRPr="00B83D1C">
        <w:rPr>
          <w:spacing w:val="-1"/>
        </w:rPr>
        <w:t>fall</w:t>
      </w:r>
      <w:r w:rsidRPr="00B83D1C">
        <w:rPr>
          <w:spacing w:val="-2"/>
        </w:rPr>
        <w:t xml:space="preserve"> </w:t>
      </w:r>
      <w:r w:rsidRPr="00B83D1C">
        <w:t>of</w:t>
      </w:r>
      <w:r w:rsidR="00CA096F">
        <w:rPr>
          <w:spacing w:val="73"/>
        </w:rPr>
        <w:t xml:space="preserve"> </w:t>
      </w:r>
      <w:r w:rsidRPr="00B83D1C">
        <w:rPr>
          <w:spacing w:val="-1"/>
        </w:rPr>
        <w:t>2018.</w:t>
      </w:r>
    </w:p>
    <w:p w14:paraId="7018726A" w14:textId="0893F187" w:rsidR="00C7105E" w:rsidRPr="00697AC2" w:rsidRDefault="00C7105E" w:rsidP="00CA096F">
      <w:pPr>
        <w:pStyle w:val="Default"/>
        <w:numPr>
          <w:ilvl w:val="0"/>
          <w:numId w:val="35"/>
        </w:numPr>
        <w:spacing w:after="120"/>
        <w:ind w:left="1440"/>
        <w:rPr>
          <w:rFonts w:ascii="Calibri" w:hAnsi="Calibri"/>
          <w:sz w:val="22"/>
          <w:szCs w:val="22"/>
        </w:rPr>
      </w:pPr>
      <w:r w:rsidRPr="00697AC2">
        <w:rPr>
          <w:rFonts w:ascii="Calibri" w:hAnsi="Calibri"/>
          <w:sz w:val="22"/>
          <w:szCs w:val="22"/>
          <w:u w:val="single"/>
        </w:rPr>
        <w:t>Comprehensive Support and Improvement Schools</w:t>
      </w:r>
      <w:r>
        <w:rPr>
          <w:rFonts w:ascii="Calibri" w:hAnsi="Calibri"/>
          <w:sz w:val="22"/>
          <w:szCs w:val="22"/>
        </w:rPr>
        <w:t xml:space="preserve">. Describe the methodology by </w:t>
      </w:r>
      <w:r w:rsidRPr="00697AC2">
        <w:rPr>
          <w:rFonts w:ascii="Calibri" w:hAnsi="Calibri"/>
          <w:sz w:val="22"/>
          <w:szCs w:val="22"/>
        </w:rPr>
        <w:t>which the State identifies public schools in the State receivi</w:t>
      </w:r>
      <w:r>
        <w:rPr>
          <w:rFonts w:ascii="Calibri" w:hAnsi="Calibri"/>
          <w:sz w:val="22"/>
          <w:szCs w:val="22"/>
        </w:rPr>
        <w:t xml:space="preserve">ng Title I, Part A funds that </w:t>
      </w:r>
      <w:r w:rsidRPr="00697AC2">
        <w:rPr>
          <w:rFonts w:ascii="Calibri" w:hAnsi="Calibri"/>
          <w:sz w:val="22"/>
          <w:szCs w:val="22"/>
        </w:rPr>
        <w:t>have received additional targeted support under ESEA se</w:t>
      </w:r>
      <w:r>
        <w:rPr>
          <w:rFonts w:ascii="Calibri" w:hAnsi="Calibri"/>
          <w:sz w:val="22"/>
          <w:szCs w:val="22"/>
        </w:rPr>
        <w:t xml:space="preserve">ction 1111(d)(2)(C) (based on </w:t>
      </w:r>
      <w:r w:rsidRPr="00697AC2">
        <w:rPr>
          <w:rFonts w:ascii="Calibri" w:hAnsi="Calibri"/>
          <w:sz w:val="22"/>
          <w:szCs w:val="22"/>
        </w:rPr>
        <w:t>identification as a school in which any subgroup of studen</w:t>
      </w:r>
      <w:r w:rsidR="00CA096F">
        <w:rPr>
          <w:rFonts w:ascii="Calibri" w:hAnsi="Calibri"/>
          <w:sz w:val="22"/>
          <w:szCs w:val="22"/>
        </w:rPr>
        <w:t xml:space="preserve">ts, on its own, would lead to </w:t>
      </w:r>
      <w:r w:rsidRPr="00697AC2">
        <w:rPr>
          <w:rFonts w:ascii="Calibri" w:hAnsi="Calibri"/>
          <w:sz w:val="22"/>
          <w:szCs w:val="22"/>
        </w:rPr>
        <w:t xml:space="preserve">identification under ESEA section 1111(c)(4)(D)(i)(I) </w:t>
      </w:r>
      <w:r>
        <w:rPr>
          <w:rFonts w:ascii="Calibri" w:hAnsi="Calibri"/>
          <w:sz w:val="22"/>
          <w:szCs w:val="22"/>
        </w:rPr>
        <w:t xml:space="preserve">using the State’s methodology </w:t>
      </w:r>
      <w:r w:rsidRPr="00697AC2">
        <w:rPr>
          <w:rFonts w:ascii="Calibri" w:hAnsi="Calibri"/>
          <w:sz w:val="22"/>
          <w:szCs w:val="22"/>
        </w:rPr>
        <w:t>under ESEA section 1111(c)(4)(D)) and that have no</w:t>
      </w:r>
      <w:r w:rsidR="00CA096F">
        <w:rPr>
          <w:rFonts w:ascii="Calibri" w:hAnsi="Calibri"/>
          <w:sz w:val="22"/>
          <w:szCs w:val="22"/>
        </w:rPr>
        <w:t xml:space="preserve">t satisfied the statewide exit </w:t>
      </w:r>
      <w:r w:rsidRPr="00697AC2">
        <w:rPr>
          <w:rFonts w:ascii="Calibri" w:hAnsi="Calibri"/>
          <w:sz w:val="22"/>
          <w:szCs w:val="22"/>
        </w:rPr>
        <w:t>criteria for such schools within a State-determined number</w:t>
      </w:r>
      <w:r w:rsidR="00CA096F">
        <w:rPr>
          <w:rFonts w:ascii="Calibri" w:hAnsi="Calibri"/>
          <w:sz w:val="22"/>
          <w:szCs w:val="22"/>
        </w:rPr>
        <w:t xml:space="preserve"> of years, including the year </w:t>
      </w:r>
      <w:r w:rsidRPr="00697AC2">
        <w:rPr>
          <w:rFonts w:ascii="Calibri" w:hAnsi="Calibri"/>
          <w:sz w:val="22"/>
          <w:szCs w:val="22"/>
        </w:rPr>
        <w:t xml:space="preserve">in which the State will first identify such schools. </w:t>
      </w:r>
    </w:p>
    <w:p w14:paraId="5823DB2E" w14:textId="77777777" w:rsidR="00C7105E" w:rsidRPr="00CA096F" w:rsidRDefault="00C7105E" w:rsidP="00CA096F">
      <w:pPr>
        <w:rPr>
          <w:b/>
          <w:bCs/>
          <w:i/>
        </w:rPr>
      </w:pPr>
      <w:r w:rsidRPr="00CA096F">
        <w:rPr>
          <w:i/>
        </w:rPr>
        <w:t>All TSI Schools Only:</w:t>
      </w:r>
    </w:p>
    <w:p w14:paraId="729C46F4" w14:textId="77777777" w:rsidR="00C7105E" w:rsidRDefault="00C7105E" w:rsidP="00D1216B">
      <w:pPr>
        <w:rPr>
          <w:spacing w:val="-1"/>
        </w:rPr>
      </w:pPr>
      <w:r w:rsidRPr="001673F0">
        <w:t xml:space="preserve">As </w:t>
      </w:r>
      <w:r w:rsidRPr="001673F0">
        <w:rPr>
          <w:spacing w:val="-1"/>
        </w:rPr>
        <w:t>described</w:t>
      </w:r>
      <w:r w:rsidRPr="001673F0">
        <w:t xml:space="preserve"> </w:t>
      </w:r>
      <w:r w:rsidRPr="001673F0">
        <w:rPr>
          <w:spacing w:val="-1"/>
        </w:rPr>
        <w:t>above,</w:t>
      </w:r>
      <w:r w:rsidRPr="001673F0">
        <w:t xml:space="preserve"> </w:t>
      </w:r>
      <w:r w:rsidRPr="001673F0">
        <w:rPr>
          <w:spacing w:val="-1"/>
        </w:rPr>
        <w:t>schools</w:t>
      </w:r>
      <w:r w:rsidRPr="001673F0">
        <w:t xml:space="preserve"> </w:t>
      </w:r>
      <w:r w:rsidRPr="001673F0">
        <w:rPr>
          <w:spacing w:val="-1"/>
        </w:rPr>
        <w:t>will</w:t>
      </w:r>
      <w:r w:rsidRPr="001673F0">
        <w:t xml:space="preserve"> </w:t>
      </w:r>
      <w:r w:rsidRPr="001673F0">
        <w:rPr>
          <w:spacing w:val="-1"/>
        </w:rPr>
        <w:t>be</w:t>
      </w:r>
      <w:r w:rsidRPr="001673F0">
        <w:rPr>
          <w:spacing w:val="-3"/>
        </w:rPr>
        <w:t xml:space="preserve"> </w:t>
      </w:r>
      <w:r w:rsidRPr="001673F0">
        <w:rPr>
          <w:spacing w:val="-1"/>
        </w:rPr>
        <w:t>identified for</w:t>
      </w:r>
      <w:r w:rsidRPr="001673F0">
        <w:t xml:space="preserve"> </w:t>
      </w:r>
      <w:r w:rsidRPr="001673F0">
        <w:rPr>
          <w:spacing w:val="-1"/>
        </w:rPr>
        <w:t>CSI</w:t>
      </w:r>
      <w:r w:rsidRPr="001673F0">
        <w:rPr>
          <w:spacing w:val="-3"/>
        </w:rPr>
        <w:t xml:space="preserve"> </w:t>
      </w:r>
      <w:r w:rsidRPr="001673F0">
        <w:rPr>
          <w:spacing w:val="-1"/>
        </w:rPr>
        <w:t>support</w:t>
      </w:r>
      <w:r w:rsidRPr="001673F0">
        <w:t xml:space="preserve"> </w:t>
      </w:r>
      <w:r w:rsidRPr="001673F0">
        <w:rPr>
          <w:spacing w:val="-1"/>
        </w:rPr>
        <w:t>(TSI lowest-performing</w:t>
      </w:r>
      <w:r w:rsidRPr="001673F0">
        <w:rPr>
          <w:spacing w:val="-3"/>
        </w:rPr>
        <w:t xml:space="preserve"> </w:t>
      </w:r>
      <w:r w:rsidRPr="001673F0">
        <w:rPr>
          <w:spacing w:val="-1"/>
        </w:rPr>
        <w:t>subgroup criteria)</w:t>
      </w:r>
      <w:r w:rsidRPr="001673F0">
        <w:t xml:space="preserve"> if</w:t>
      </w:r>
      <w:r w:rsidRPr="001673F0">
        <w:rPr>
          <w:spacing w:val="-3"/>
        </w:rPr>
        <w:t xml:space="preserve"> </w:t>
      </w:r>
      <w:r w:rsidRPr="001673F0">
        <w:t>they</w:t>
      </w:r>
      <w:r w:rsidRPr="001673F0">
        <w:rPr>
          <w:spacing w:val="75"/>
        </w:rPr>
        <w:t xml:space="preserve"> </w:t>
      </w:r>
      <w:r w:rsidRPr="001673F0">
        <w:rPr>
          <w:spacing w:val="-1"/>
        </w:rPr>
        <w:t>have</w:t>
      </w:r>
      <w:r w:rsidRPr="001673F0">
        <w:t xml:space="preserve"> </w:t>
      </w:r>
      <w:r w:rsidRPr="001673F0">
        <w:rPr>
          <w:spacing w:val="-1"/>
        </w:rPr>
        <w:t>been</w:t>
      </w:r>
      <w:r w:rsidRPr="001673F0">
        <w:t xml:space="preserve"> </w:t>
      </w:r>
      <w:r w:rsidRPr="001673F0">
        <w:rPr>
          <w:spacing w:val="-1"/>
        </w:rPr>
        <w:t>identified</w:t>
      </w:r>
      <w:r w:rsidRPr="001673F0">
        <w:t xml:space="preserve"> as a</w:t>
      </w:r>
      <w:r w:rsidRPr="001673F0">
        <w:rPr>
          <w:spacing w:val="-2"/>
        </w:rPr>
        <w:t xml:space="preserve"> </w:t>
      </w:r>
      <w:r w:rsidRPr="001673F0">
        <w:rPr>
          <w:spacing w:val="-1"/>
        </w:rPr>
        <w:t>targeted</w:t>
      </w:r>
      <w:r w:rsidRPr="001673F0">
        <w:t xml:space="preserve"> </w:t>
      </w:r>
      <w:r w:rsidRPr="001673F0">
        <w:rPr>
          <w:spacing w:val="-1"/>
        </w:rPr>
        <w:t>support</w:t>
      </w:r>
      <w:r w:rsidRPr="001673F0">
        <w:t xml:space="preserve"> </w:t>
      </w:r>
      <w:r w:rsidRPr="001673F0">
        <w:rPr>
          <w:spacing w:val="-1"/>
        </w:rPr>
        <w:t>and improvement</w:t>
      </w:r>
      <w:r w:rsidRPr="001673F0">
        <w:rPr>
          <w:spacing w:val="-3"/>
        </w:rPr>
        <w:t xml:space="preserve"> </w:t>
      </w:r>
      <w:r w:rsidRPr="001673F0">
        <w:rPr>
          <w:spacing w:val="-1"/>
        </w:rPr>
        <w:t>(TSI)</w:t>
      </w:r>
      <w:r w:rsidRPr="001673F0">
        <w:t xml:space="preserve"> </w:t>
      </w:r>
      <w:r w:rsidRPr="001673F0">
        <w:rPr>
          <w:spacing w:val="-1"/>
        </w:rPr>
        <w:t>school</w:t>
      </w:r>
      <w:r w:rsidRPr="001673F0">
        <w:t xml:space="preserve"> </w:t>
      </w:r>
      <w:r w:rsidRPr="001673F0">
        <w:rPr>
          <w:spacing w:val="-1"/>
        </w:rPr>
        <w:t>for</w:t>
      </w:r>
      <w:r w:rsidRPr="001673F0">
        <w:t xml:space="preserve"> the same  </w:t>
      </w:r>
      <w:r w:rsidRPr="001673F0">
        <w:rPr>
          <w:spacing w:val="-1"/>
        </w:rPr>
        <w:t>lowest performing subgroup</w:t>
      </w:r>
      <w:r w:rsidRPr="001673F0">
        <w:rPr>
          <w:spacing w:val="65"/>
        </w:rPr>
        <w:t xml:space="preserve"> </w:t>
      </w:r>
      <w:r w:rsidRPr="001673F0">
        <w:rPr>
          <w:spacing w:val="-1"/>
        </w:rPr>
        <w:t>for</w:t>
      </w:r>
      <w:r w:rsidRPr="001673F0">
        <w:t xml:space="preserve"> </w:t>
      </w:r>
      <w:r w:rsidRPr="001673F0">
        <w:rPr>
          <w:spacing w:val="-1"/>
        </w:rPr>
        <w:t>three</w:t>
      </w:r>
      <w:r w:rsidRPr="001673F0">
        <w:t xml:space="preserve"> </w:t>
      </w:r>
      <w:r w:rsidRPr="001673F0">
        <w:rPr>
          <w:spacing w:val="-1"/>
        </w:rPr>
        <w:t>consecutive</w:t>
      </w:r>
      <w:r w:rsidRPr="001673F0">
        <w:rPr>
          <w:spacing w:val="-2"/>
        </w:rPr>
        <w:t xml:space="preserve"> </w:t>
      </w:r>
      <w:r w:rsidRPr="001673F0">
        <w:t>years</w:t>
      </w:r>
      <w:r w:rsidRPr="001673F0">
        <w:rPr>
          <w:spacing w:val="-3"/>
        </w:rPr>
        <w:t xml:space="preserve"> </w:t>
      </w:r>
      <w:r w:rsidRPr="001673F0">
        <w:rPr>
          <w:spacing w:val="-1"/>
        </w:rPr>
        <w:t>without</w:t>
      </w:r>
      <w:r w:rsidRPr="001673F0">
        <w:t xml:space="preserve"> </w:t>
      </w:r>
      <w:r w:rsidRPr="001673F0">
        <w:rPr>
          <w:spacing w:val="-1"/>
        </w:rPr>
        <w:t>exiting TSI status</w:t>
      </w:r>
      <w:r w:rsidRPr="001673F0">
        <w:rPr>
          <w:spacing w:val="-2"/>
        </w:rPr>
        <w:t xml:space="preserve"> </w:t>
      </w:r>
      <w:r w:rsidRPr="001673F0">
        <w:rPr>
          <w:spacing w:val="-1"/>
        </w:rPr>
        <w:t>by</w:t>
      </w:r>
      <w:r w:rsidRPr="001673F0">
        <w:t xml:space="preserve"> </w:t>
      </w:r>
      <w:r w:rsidRPr="001673F0">
        <w:rPr>
          <w:spacing w:val="-1"/>
        </w:rPr>
        <w:t>the</w:t>
      </w:r>
      <w:r w:rsidRPr="001673F0">
        <w:rPr>
          <w:spacing w:val="-2"/>
        </w:rPr>
        <w:t xml:space="preserve"> </w:t>
      </w:r>
      <w:r w:rsidRPr="001673F0">
        <w:t>end</w:t>
      </w:r>
      <w:r w:rsidRPr="001673F0">
        <w:rPr>
          <w:spacing w:val="-2"/>
        </w:rPr>
        <w:t xml:space="preserve"> </w:t>
      </w:r>
      <w:r w:rsidRPr="001673F0">
        <w:t>of</w:t>
      </w:r>
      <w:r w:rsidRPr="001673F0">
        <w:rPr>
          <w:spacing w:val="-3"/>
        </w:rPr>
        <w:t xml:space="preserve"> </w:t>
      </w:r>
      <w:r w:rsidRPr="001673F0">
        <w:rPr>
          <w:spacing w:val="-1"/>
        </w:rPr>
        <w:t>the</w:t>
      </w:r>
      <w:r w:rsidRPr="001673F0">
        <w:rPr>
          <w:spacing w:val="-2"/>
        </w:rPr>
        <w:t xml:space="preserve"> </w:t>
      </w:r>
      <w:r w:rsidRPr="001673F0">
        <w:rPr>
          <w:spacing w:val="-1"/>
        </w:rPr>
        <w:t xml:space="preserve">third year. The 2021-2022 school year will be the first year schools that have had three consecutive years of meeting the TSI entrance conditions for a subgroup will be designated as CSI schools. </w:t>
      </w:r>
    </w:p>
    <w:p w14:paraId="0FA25801" w14:textId="77777777" w:rsidR="00F11DB4" w:rsidRDefault="00F11DB4">
      <w:r>
        <w:br w:type="page"/>
      </w:r>
    </w:p>
    <w:p w14:paraId="3D85CD3E" w14:textId="77777777" w:rsidR="00C7105E" w:rsidRPr="00697AC2" w:rsidRDefault="00C7105E" w:rsidP="00CA096F">
      <w:pPr>
        <w:pStyle w:val="Default"/>
        <w:numPr>
          <w:ilvl w:val="0"/>
          <w:numId w:val="35"/>
        </w:numPr>
        <w:spacing w:after="120"/>
        <w:ind w:left="1440"/>
        <w:rPr>
          <w:rFonts w:ascii="Calibri" w:hAnsi="Calibri"/>
          <w:sz w:val="22"/>
          <w:szCs w:val="22"/>
        </w:rPr>
      </w:pPr>
      <w:r w:rsidRPr="00697AC2">
        <w:rPr>
          <w:rFonts w:ascii="Calibri" w:hAnsi="Calibri"/>
          <w:sz w:val="22"/>
          <w:szCs w:val="22"/>
          <w:u w:val="single"/>
        </w:rPr>
        <w:lastRenderedPageBreak/>
        <w:t>Frequency of Identification</w:t>
      </w:r>
      <w:r w:rsidRPr="00697AC2">
        <w:rPr>
          <w:rFonts w:ascii="Calibri" w:hAnsi="Calibri"/>
          <w:sz w:val="22"/>
          <w:szCs w:val="22"/>
        </w:rPr>
        <w:t>. Provide, for each type of school identified for comprehensive support and improvement, the frequen</w:t>
      </w:r>
      <w:r>
        <w:rPr>
          <w:rFonts w:ascii="Calibri" w:hAnsi="Calibri"/>
          <w:sz w:val="22"/>
          <w:szCs w:val="22"/>
        </w:rPr>
        <w:t xml:space="preserve">cy with which the State will, </w:t>
      </w:r>
      <w:r w:rsidRPr="00697AC2">
        <w:rPr>
          <w:rFonts w:ascii="Calibri" w:hAnsi="Calibri"/>
          <w:sz w:val="22"/>
          <w:szCs w:val="22"/>
        </w:rPr>
        <w:t>thereafter, identify such schools. Note that these school</w:t>
      </w:r>
      <w:r>
        <w:rPr>
          <w:rFonts w:ascii="Calibri" w:hAnsi="Calibri"/>
          <w:sz w:val="22"/>
          <w:szCs w:val="22"/>
        </w:rPr>
        <w:t xml:space="preserve">s must be identified at least </w:t>
      </w:r>
      <w:r w:rsidRPr="00697AC2">
        <w:rPr>
          <w:rFonts w:ascii="Calibri" w:hAnsi="Calibri"/>
          <w:sz w:val="22"/>
          <w:szCs w:val="22"/>
        </w:rPr>
        <w:t>once every three years</w:t>
      </w:r>
      <w:r w:rsidRPr="00697AC2">
        <w:rPr>
          <w:rFonts w:ascii="Calibri" w:hAnsi="Calibri"/>
          <w:i/>
          <w:iCs/>
          <w:sz w:val="22"/>
          <w:szCs w:val="22"/>
        </w:rPr>
        <w:t xml:space="preserve">. </w:t>
      </w:r>
    </w:p>
    <w:p w14:paraId="44830EDB" w14:textId="77777777" w:rsidR="00C7105E" w:rsidRPr="001673F0" w:rsidRDefault="00C7105E" w:rsidP="00D1216B">
      <w:pPr>
        <w:pStyle w:val="BodyText"/>
        <w:kinsoku w:val="0"/>
        <w:overflowPunct w:val="0"/>
        <w:spacing w:line="251" w:lineRule="auto"/>
        <w:ind w:right="289"/>
      </w:pPr>
      <w:r w:rsidRPr="001673F0">
        <w:t>As indicated above:</w:t>
      </w:r>
    </w:p>
    <w:p w14:paraId="72DDB39C" w14:textId="77777777" w:rsidR="00C7105E" w:rsidRPr="001673F0" w:rsidRDefault="00C7105E" w:rsidP="006641B6">
      <w:pPr>
        <w:pStyle w:val="BodyText"/>
        <w:widowControl w:val="0"/>
        <w:numPr>
          <w:ilvl w:val="0"/>
          <w:numId w:val="74"/>
        </w:numPr>
        <w:kinsoku w:val="0"/>
        <w:overflowPunct w:val="0"/>
        <w:autoSpaceDE w:val="0"/>
        <w:autoSpaceDN w:val="0"/>
        <w:adjustRightInd w:val="0"/>
        <w:spacing w:after="0" w:line="251" w:lineRule="auto"/>
        <w:ind w:right="289"/>
      </w:pPr>
      <w:r w:rsidRPr="001673F0">
        <w:t xml:space="preserve">Schools will be identified as CSI (lowest 5%) annually.  </w:t>
      </w:r>
      <w:r w:rsidRPr="001673F0">
        <w:rPr>
          <w:spacing w:val="-1"/>
        </w:rPr>
        <w:t>Even though CSI (lowest 5%) are identified annually, a school already identified as CSI from previous years will continue on the original identification timeline for at least three years and until it meets the criteria for exit.</w:t>
      </w:r>
    </w:p>
    <w:p w14:paraId="3E404F86" w14:textId="77777777" w:rsidR="00C7105E" w:rsidRPr="001673F0" w:rsidRDefault="00C7105E" w:rsidP="006641B6">
      <w:pPr>
        <w:pStyle w:val="BodyText"/>
        <w:widowControl w:val="0"/>
        <w:numPr>
          <w:ilvl w:val="0"/>
          <w:numId w:val="74"/>
        </w:numPr>
        <w:kinsoku w:val="0"/>
        <w:overflowPunct w:val="0"/>
        <w:autoSpaceDE w:val="0"/>
        <w:autoSpaceDN w:val="0"/>
        <w:adjustRightInd w:val="0"/>
        <w:spacing w:after="0" w:line="251" w:lineRule="auto"/>
        <w:ind w:right="289"/>
      </w:pPr>
      <w:r w:rsidRPr="001673F0">
        <w:rPr>
          <w:spacing w:val="-1"/>
        </w:rPr>
        <w:t>Schools will be identified as CSI (graduation rate) annually.</w:t>
      </w:r>
    </w:p>
    <w:p w14:paraId="4437983A" w14:textId="77777777" w:rsidR="00C7105E" w:rsidRPr="001673F0" w:rsidRDefault="00C7105E" w:rsidP="00CA096F">
      <w:pPr>
        <w:pStyle w:val="BodyText"/>
        <w:widowControl w:val="0"/>
        <w:numPr>
          <w:ilvl w:val="0"/>
          <w:numId w:val="74"/>
        </w:numPr>
        <w:kinsoku w:val="0"/>
        <w:overflowPunct w:val="0"/>
        <w:autoSpaceDE w:val="0"/>
        <w:autoSpaceDN w:val="0"/>
        <w:adjustRightInd w:val="0"/>
        <w:spacing w:line="251" w:lineRule="auto"/>
        <w:ind w:right="289"/>
      </w:pPr>
      <w:r w:rsidRPr="001673F0">
        <w:rPr>
          <w:spacing w:val="-1"/>
        </w:rPr>
        <w:t xml:space="preserve">Schools will be identified as CSI through the TSI entrance criteria starting in the 2021-2022 school year and annually thereafter. </w:t>
      </w:r>
    </w:p>
    <w:p w14:paraId="28E144DC" w14:textId="77777777" w:rsidR="00C7105E" w:rsidRPr="00697AC2" w:rsidRDefault="00C7105E" w:rsidP="00CA096F">
      <w:pPr>
        <w:pStyle w:val="Default"/>
        <w:numPr>
          <w:ilvl w:val="0"/>
          <w:numId w:val="35"/>
        </w:numPr>
        <w:ind w:left="1440"/>
        <w:rPr>
          <w:rFonts w:ascii="Calibri" w:hAnsi="Calibri"/>
          <w:sz w:val="22"/>
          <w:szCs w:val="22"/>
        </w:rPr>
      </w:pPr>
      <w:r w:rsidRPr="00697AC2">
        <w:rPr>
          <w:rFonts w:ascii="Calibri" w:hAnsi="Calibri"/>
          <w:sz w:val="22"/>
          <w:szCs w:val="22"/>
          <w:u w:val="single"/>
        </w:rPr>
        <w:t>Targeted Support and Improvement</w:t>
      </w:r>
      <w:r w:rsidRPr="00697AC2">
        <w:rPr>
          <w:rFonts w:ascii="Calibri" w:hAnsi="Calibri"/>
          <w:sz w:val="22"/>
          <w:szCs w:val="22"/>
        </w:rPr>
        <w:t>. Describe the Sta</w:t>
      </w:r>
      <w:r>
        <w:rPr>
          <w:rFonts w:ascii="Calibri" w:hAnsi="Calibri"/>
          <w:sz w:val="22"/>
          <w:szCs w:val="22"/>
        </w:rPr>
        <w:t xml:space="preserve">te’s methodology for annually </w:t>
      </w:r>
      <w:r w:rsidRPr="00697AC2">
        <w:rPr>
          <w:rFonts w:ascii="Calibri" w:hAnsi="Calibri"/>
          <w:sz w:val="22"/>
          <w:szCs w:val="22"/>
        </w:rPr>
        <w:t xml:space="preserve">identifying any school with one or more “consistently </w:t>
      </w:r>
      <w:r>
        <w:rPr>
          <w:rFonts w:ascii="Calibri" w:hAnsi="Calibri"/>
          <w:sz w:val="22"/>
          <w:szCs w:val="22"/>
        </w:rPr>
        <w:t xml:space="preserve">underperforming” subgroups of </w:t>
      </w:r>
      <w:r w:rsidRPr="00697AC2">
        <w:rPr>
          <w:rFonts w:ascii="Calibri" w:hAnsi="Calibri"/>
          <w:sz w:val="22"/>
          <w:szCs w:val="22"/>
        </w:rPr>
        <w:t xml:space="preserve">students, based on all indicators in the statewide system of annual meaningful </w:t>
      </w:r>
      <w:r w:rsidRPr="00697AC2">
        <w:rPr>
          <w:rFonts w:ascii="Calibri" w:hAnsi="Calibri"/>
          <w:sz w:val="22"/>
          <w:szCs w:val="22"/>
        </w:rPr>
        <w:tab/>
        <w:t xml:space="preserve">differentiation, including the definition used by the State to determine consistent underperformance. </w:t>
      </w:r>
      <w:r w:rsidRPr="00697AC2">
        <w:rPr>
          <w:rFonts w:ascii="Calibri" w:hAnsi="Calibri"/>
          <w:i/>
          <w:iCs/>
          <w:sz w:val="22"/>
          <w:szCs w:val="22"/>
        </w:rPr>
        <w:t xml:space="preserve">(ESEA section 1111(c)(4)(C)(iii)) </w:t>
      </w:r>
    </w:p>
    <w:p w14:paraId="68F35D86" w14:textId="77777777" w:rsidR="00C7105E" w:rsidRPr="00CA096F" w:rsidRDefault="00C7105E" w:rsidP="00CA096F">
      <w:pPr>
        <w:rPr>
          <w:b/>
          <w:bCs/>
          <w:i/>
        </w:rPr>
      </w:pPr>
      <w:r w:rsidRPr="00CA096F">
        <w:rPr>
          <w:i/>
        </w:rPr>
        <w:t>All</w:t>
      </w:r>
      <w:r w:rsidRPr="00CA096F">
        <w:rPr>
          <w:i/>
          <w:spacing w:val="-2"/>
        </w:rPr>
        <w:t xml:space="preserve"> </w:t>
      </w:r>
      <w:r w:rsidRPr="00CA096F">
        <w:rPr>
          <w:i/>
        </w:rPr>
        <w:t>Schools:</w:t>
      </w:r>
    </w:p>
    <w:p w14:paraId="5B57C0BC" w14:textId="77777777" w:rsidR="00C7105E" w:rsidRPr="00600F68" w:rsidRDefault="00C7105E" w:rsidP="00CA096F">
      <w:pPr>
        <w:rPr>
          <w:rFonts w:ascii="Calibri" w:hAnsi="Calibri"/>
          <w:spacing w:val="-1"/>
        </w:rPr>
      </w:pPr>
      <w:r w:rsidRPr="001673F0">
        <w:rPr>
          <w:spacing w:val="-1"/>
        </w:rPr>
        <w:t>Alaska</w:t>
      </w:r>
      <w:r w:rsidRPr="001673F0">
        <w:t xml:space="preserve"> </w:t>
      </w:r>
      <w:r w:rsidRPr="001673F0">
        <w:rPr>
          <w:spacing w:val="-2"/>
        </w:rPr>
        <w:t>is</w:t>
      </w:r>
      <w:r w:rsidRPr="001673F0">
        <w:t xml:space="preserve"> </w:t>
      </w:r>
      <w:r w:rsidRPr="001673F0">
        <w:rPr>
          <w:spacing w:val="-1"/>
        </w:rPr>
        <w:t>defining “consistent</w:t>
      </w:r>
      <w:r w:rsidRPr="001673F0">
        <w:t xml:space="preserve"> </w:t>
      </w:r>
      <w:r w:rsidRPr="001673F0">
        <w:rPr>
          <w:spacing w:val="-1"/>
        </w:rPr>
        <w:t>underperformance”</w:t>
      </w:r>
      <w:r w:rsidRPr="001673F0">
        <w:t xml:space="preserve"> as any subgroup whose accountability index value places them below the Lowest Performance Threshold. The Lowest Performance Threshold is t</w:t>
      </w:r>
      <w:r w:rsidRPr="001673F0">
        <w:rPr>
          <w:rFonts w:ascii="Calibri" w:hAnsi="Calibri" w:cs="Calibri"/>
          <w:spacing w:val="-1"/>
        </w:rPr>
        <w:t xml:space="preserve">he accountability index value of the highest performing Title I CSI school in </w:t>
      </w:r>
      <w:r w:rsidRPr="001673F0">
        <w:rPr>
          <w:spacing w:val="-1"/>
        </w:rPr>
        <w:t xml:space="preserve">Category 1 (the lowest 5% of Title I schools) and </w:t>
      </w:r>
      <w:r w:rsidRPr="001673F0">
        <w:rPr>
          <w:rFonts w:ascii="Calibri" w:hAnsi="Calibri" w:cs="Calibri"/>
          <w:spacing w:val="-1"/>
        </w:rPr>
        <w:t xml:space="preserve">will </w:t>
      </w:r>
      <w:r w:rsidRPr="001673F0">
        <w:rPr>
          <w:spacing w:val="-1"/>
        </w:rPr>
        <w:t xml:space="preserve">be </w:t>
      </w:r>
      <w:r w:rsidRPr="001673F0">
        <w:rPr>
          <w:rFonts w:ascii="Calibri" w:hAnsi="Calibri" w:cs="Calibri"/>
          <w:spacing w:val="-1"/>
        </w:rPr>
        <w:t>determine</w:t>
      </w:r>
      <w:r w:rsidRPr="001673F0">
        <w:rPr>
          <w:spacing w:val="-1"/>
        </w:rPr>
        <w:t>d</w:t>
      </w:r>
      <w:r>
        <w:rPr>
          <w:spacing w:val="-1"/>
        </w:rPr>
        <w:t xml:space="preserve"> annually</w:t>
      </w:r>
      <w:r w:rsidRPr="001673F0">
        <w:rPr>
          <w:spacing w:val="-1"/>
        </w:rPr>
        <w:t>. A school with one or more subgroups performing at or below the lowest performance threshold will be identified as a TSI school.</w:t>
      </w:r>
      <w:r>
        <w:rPr>
          <w:spacing w:val="-1"/>
        </w:rPr>
        <w:t xml:space="preserve"> </w:t>
      </w:r>
      <w:r w:rsidRPr="00B83D1C">
        <w:rPr>
          <w:spacing w:val="-1"/>
        </w:rPr>
        <w:t>These</w:t>
      </w:r>
      <w:r w:rsidRPr="00B83D1C">
        <w:t xml:space="preserve"> </w:t>
      </w:r>
      <w:r w:rsidRPr="00B83D1C">
        <w:rPr>
          <w:spacing w:val="-1"/>
        </w:rPr>
        <w:t>schools</w:t>
      </w:r>
      <w:r w:rsidRPr="00B83D1C">
        <w:rPr>
          <w:spacing w:val="-2"/>
        </w:rPr>
        <w:t xml:space="preserve"> </w:t>
      </w:r>
      <w:r w:rsidRPr="00B83D1C">
        <w:t xml:space="preserve">will </w:t>
      </w:r>
      <w:r w:rsidRPr="00B83D1C">
        <w:rPr>
          <w:spacing w:val="-1"/>
        </w:rPr>
        <w:t>be</w:t>
      </w:r>
      <w:r w:rsidRPr="00B83D1C">
        <w:rPr>
          <w:spacing w:val="-2"/>
        </w:rPr>
        <w:t xml:space="preserve"> </w:t>
      </w:r>
      <w:r w:rsidRPr="00B83D1C">
        <w:rPr>
          <w:spacing w:val="-1"/>
        </w:rPr>
        <w:t>first</w:t>
      </w:r>
      <w:r w:rsidRPr="00B83D1C">
        <w:rPr>
          <w:spacing w:val="1"/>
        </w:rPr>
        <w:t xml:space="preserve"> </w:t>
      </w:r>
      <w:r w:rsidRPr="00B83D1C">
        <w:rPr>
          <w:spacing w:val="-1"/>
        </w:rPr>
        <w:t>identified</w:t>
      </w:r>
      <w:r w:rsidRPr="00B83D1C">
        <w:t xml:space="preserve"> in</w:t>
      </w:r>
      <w:r w:rsidRPr="00B83D1C">
        <w:rPr>
          <w:spacing w:val="-1"/>
        </w:rPr>
        <w:t xml:space="preserve"> 2018-19</w:t>
      </w:r>
      <w:r w:rsidRPr="00B83D1C">
        <w:rPr>
          <w:spacing w:val="-2"/>
        </w:rPr>
        <w:t xml:space="preserve"> </w:t>
      </w:r>
      <w:r w:rsidRPr="00B83D1C">
        <w:rPr>
          <w:spacing w:val="-1"/>
        </w:rPr>
        <w:t>for</w:t>
      </w:r>
      <w:r w:rsidRPr="00B83D1C">
        <w:t xml:space="preserve"> </w:t>
      </w:r>
      <w:r w:rsidRPr="00B83D1C">
        <w:rPr>
          <w:spacing w:val="-1"/>
        </w:rPr>
        <w:t>support</w:t>
      </w:r>
      <w:r>
        <w:rPr>
          <w:spacing w:val="-1"/>
        </w:rPr>
        <w:t xml:space="preserve"> and notified</w:t>
      </w:r>
      <w:r w:rsidRPr="00B83D1C">
        <w:t xml:space="preserve"> in</w:t>
      </w:r>
      <w:r w:rsidRPr="00B83D1C">
        <w:rPr>
          <w:spacing w:val="-1"/>
        </w:rPr>
        <w:t xml:space="preserve"> the</w:t>
      </w:r>
      <w:r w:rsidRPr="00B83D1C">
        <w:rPr>
          <w:spacing w:val="-2"/>
        </w:rPr>
        <w:t xml:space="preserve"> </w:t>
      </w:r>
      <w:r w:rsidRPr="00B83D1C">
        <w:rPr>
          <w:spacing w:val="-1"/>
        </w:rPr>
        <w:t>fall</w:t>
      </w:r>
      <w:r w:rsidRPr="00B83D1C">
        <w:rPr>
          <w:spacing w:val="-2"/>
        </w:rPr>
        <w:t xml:space="preserve"> </w:t>
      </w:r>
      <w:r w:rsidRPr="00B83D1C">
        <w:t>of</w:t>
      </w:r>
      <w:r>
        <w:rPr>
          <w:spacing w:val="73"/>
        </w:rPr>
        <w:t xml:space="preserve"> </w:t>
      </w:r>
      <w:r w:rsidRPr="00B83D1C">
        <w:rPr>
          <w:spacing w:val="-1"/>
        </w:rPr>
        <w:t>2018</w:t>
      </w:r>
      <w:r>
        <w:rPr>
          <w:spacing w:val="-1"/>
        </w:rPr>
        <w:t>, and will be identified annually thereafter using the Lowest Performance Threshold as determined annually</w:t>
      </w:r>
      <w:r w:rsidRPr="00B83D1C">
        <w:rPr>
          <w:spacing w:val="-1"/>
        </w:rPr>
        <w:t>.</w:t>
      </w:r>
      <w:r w:rsidRPr="001673F0">
        <w:t xml:space="preserve"> </w:t>
      </w:r>
      <w:r>
        <w:rPr>
          <w:spacing w:val="-1"/>
        </w:rPr>
        <w:t>Small schools for which an accountability index score cannot be calculated will be designated as Small School Targeted Support and Improvement, as applicable, based on the small school performance review as described in Section A.4.v.c.</w:t>
      </w:r>
    </w:p>
    <w:p w14:paraId="1EAB4BBB" w14:textId="77777777" w:rsidR="00F11DB4" w:rsidRDefault="00F11DB4">
      <w:r>
        <w:br w:type="page"/>
      </w:r>
    </w:p>
    <w:p w14:paraId="4A7A2D64" w14:textId="77777777" w:rsidR="00C7105E" w:rsidRPr="00697AC2" w:rsidRDefault="00C7105E" w:rsidP="00CA096F">
      <w:pPr>
        <w:pStyle w:val="Default"/>
        <w:numPr>
          <w:ilvl w:val="0"/>
          <w:numId w:val="35"/>
        </w:numPr>
        <w:ind w:left="1440"/>
        <w:rPr>
          <w:rFonts w:ascii="Calibri" w:hAnsi="Calibri"/>
          <w:sz w:val="22"/>
          <w:szCs w:val="22"/>
        </w:rPr>
      </w:pPr>
      <w:r w:rsidRPr="00CA096F">
        <w:rPr>
          <w:rFonts w:ascii="Calibri" w:hAnsi="Calibri"/>
          <w:iCs/>
          <w:sz w:val="22"/>
          <w:szCs w:val="22"/>
          <w:u w:val="single"/>
        </w:rPr>
        <w:lastRenderedPageBreak/>
        <w:t>Additional Targeted Support.</w:t>
      </w:r>
      <w:r w:rsidRPr="00697AC2">
        <w:rPr>
          <w:rFonts w:ascii="Calibri" w:hAnsi="Calibri"/>
          <w:sz w:val="22"/>
          <w:szCs w:val="22"/>
        </w:rPr>
        <w:t xml:space="preserve"> </w:t>
      </w:r>
      <w:proofErr w:type="gramStart"/>
      <w:r w:rsidRPr="00697AC2">
        <w:rPr>
          <w:rFonts w:ascii="Calibri" w:hAnsi="Calibri"/>
          <w:sz w:val="22"/>
          <w:szCs w:val="22"/>
        </w:rPr>
        <w:t>Describe the State’s</w:t>
      </w:r>
      <w:r>
        <w:rPr>
          <w:rFonts w:ascii="Calibri" w:hAnsi="Calibri"/>
          <w:sz w:val="22"/>
          <w:szCs w:val="22"/>
        </w:rPr>
        <w:t xml:space="preserve"> methodology, for identifying </w:t>
      </w:r>
      <w:r w:rsidRPr="00697AC2">
        <w:rPr>
          <w:rFonts w:ascii="Calibri" w:hAnsi="Calibri"/>
          <w:sz w:val="22"/>
          <w:szCs w:val="22"/>
        </w:rPr>
        <w:t>schools in which any subgroup of students, on its own,</w:t>
      </w:r>
      <w:r>
        <w:rPr>
          <w:rFonts w:ascii="Calibri" w:hAnsi="Calibri"/>
          <w:sz w:val="22"/>
          <w:szCs w:val="22"/>
        </w:rPr>
        <w:t xml:space="preserve"> would lead to identification </w:t>
      </w:r>
      <w:r w:rsidRPr="00697AC2">
        <w:rPr>
          <w:rFonts w:ascii="Calibri" w:hAnsi="Calibri"/>
          <w:sz w:val="22"/>
          <w:szCs w:val="22"/>
        </w:rPr>
        <w:t>under ESEA section 1111(c)(4)(D)(i)(I) using the S</w:t>
      </w:r>
      <w:r>
        <w:rPr>
          <w:rFonts w:ascii="Calibri" w:hAnsi="Calibri"/>
          <w:sz w:val="22"/>
          <w:szCs w:val="22"/>
        </w:rPr>
        <w:t xml:space="preserve">tate’s methodology under ESEA </w:t>
      </w:r>
      <w:r>
        <w:rPr>
          <w:rFonts w:ascii="Calibri" w:hAnsi="Calibri"/>
          <w:sz w:val="22"/>
          <w:szCs w:val="22"/>
        </w:rPr>
        <w:tab/>
      </w:r>
      <w:r w:rsidRPr="00697AC2">
        <w:rPr>
          <w:rFonts w:ascii="Calibri" w:hAnsi="Calibri"/>
          <w:sz w:val="22"/>
          <w:szCs w:val="22"/>
        </w:rPr>
        <w:t>section 1111(c)(4)(D), including the year in which the S</w:t>
      </w:r>
      <w:r>
        <w:rPr>
          <w:rFonts w:ascii="Calibri" w:hAnsi="Calibri"/>
          <w:sz w:val="22"/>
          <w:szCs w:val="22"/>
        </w:rPr>
        <w:t xml:space="preserve">tate will first identify such </w:t>
      </w:r>
      <w:r w:rsidRPr="00697AC2">
        <w:rPr>
          <w:rFonts w:ascii="Calibri" w:hAnsi="Calibri"/>
          <w:sz w:val="22"/>
          <w:szCs w:val="22"/>
        </w:rPr>
        <w:t>schools and the frequency with which the State will, there</w:t>
      </w:r>
      <w:r>
        <w:rPr>
          <w:rFonts w:ascii="Calibri" w:hAnsi="Calibri"/>
          <w:sz w:val="22"/>
          <w:szCs w:val="22"/>
        </w:rPr>
        <w:t>after, identify such schools.</w:t>
      </w:r>
      <w:proofErr w:type="gramEnd"/>
      <w:r>
        <w:rPr>
          <w:rFonts w:ascii="Calibri" w:hAnsi="Calibri"/>
          <w:sz w:val="22"/>
          <w:szCs w:val="22"/>
        </w:rPr>
        <w:t xml:space="preserve"> </w:t>
      </w:r>
      <w:r w:rsidRPr="00697AC2">
        <w:rPr>
          <w:rFonts w:ascii="Calibri" w:hAnsi="Calibri"/>
          <w:i/>
          <w:iCs/>
          <w:sz w:val="22"/>
          <w:szCs w:val="22"/>
        </w:rPr>
        <w:t xml:space="preserve">(ESEA section 1111(d)(2)(C)-(D)) </w:t>
      </w:r>
    </w:p>
    <w:p w14:paraId="562B9584" w14:textId="77777777" w:rsidR="00C7105E" w:rsidRPr="00CA096F" w:rsidRDefault="00C7105E" w:rsidP="00CA096F">
      <w:pPr>
        <w:rPr>
          <w:b/>
          <w:bCs/>
          <w:i/>
        </w:rPr>
      </w:pPr>
      <w:r w:rsidRPr="00CA096F">
        <w:rPr>
          <w:i/>
        </w:rPr>
        <w:t>All</w:t>
      </w:r>
      <w:r w:rsidRPr="00CA096F">
        <w:rPr>
          <w:i/>
          <w:spacing w:val="-2"/>
        </w:rPr>
        <w:t xml:space="preserve"> </w:t>
      </w:r>
      <w:r w:rsidRPr="00CA096F">
        <w:rPr>
          <w:i/>
        </w:rPr>
        <w:t>Schools:</w:t>
      </w:r>
    </w:p>
    <w:p w14:paraId="6113CFFA" w14:textId="77777777" w:rsidR="00C7105E" w:rsidRPr="001673F0" w:rsidRDefault="00C7105E" w:rsidP="00D1216B">
      <w:pPr>
        <w:pStyle w:val="BodyText"/>
        <w:kinsoku w:val="0"/>
        <w:overflowPunct w:val="0"/>
        <w:spacing w:before="10"/>
        <w:rPr>
          <w:spacing w:val="-1"/>
        </w:rPr>
      </w:pPr>
      <w:r>
        <w:t xml:space="preserve">As </w:t>
      </w:r>
      <w:r w:rsidRPr="001673F0">
        <w:rPr>
          <w:spacing w:val="-1"/>
        </w:rPr>
        <w:t>described</w:t>
      </w:r>
      <w:r w:rsidRPr="001673F0">
        <w:t xml:space="preserve"> </w:t>
      </w:r>
      <w:r w:rsidRPr="001673F0">
        <w:rPr>
          <w:spacing w:val="-1"/>
        </w:rPr>
        <w:t>above,</w:t>
      </w:r>
      <w:r w:rsidRPr="001673F0">
        <w:t xml:space="preserve"> </w:t>
      </w:r>
      <w:r w:rsidRPr="001673F0">
        <w:rPr>
          <w:spacing w:val="-1"/>
        </w:rPr>
        <w:t>schools</w:t>
      </w:r>
      <w:r w:rsidRPr="001673F0">
        <w:t xml:space="preserve"> </w:t>
      </w:r>
      <w:r w:rsidRPr="001673F0">
        <w:rPr>
          <w:spacing w:val="-1"/>
        </w:rPr>
        <w:t>will</w:t>
      </w:r>
      <w:r w:rsidRPr="001673F0">
        <w:t xml:space="preserve"> </w:t>
      </w:r>
      <w:r w:rsidRPr="001673F0">
        <w:rPr>
          <w:spacing w:val="-1"/>
        </w:rPr>
        <w:t>be</w:t>
      </w:r>
      <w:r w:rsidRPr="001673F0">
        <w:t xml:space="preserve"> </w:t>
      </w:r>
      <w:r w:rsidRPr="001673F0">
        <w:rPr>
          <w:spacing w:val="-1"/>
        </w:rPr>
        <w:t>identified</w:t>
      </w:r>
      <w:r w:rsidRPr="001673F0">
        <w:t xml:space="preserve"> </w:t>
      </w:r>
      <w:r w:rsidRPr="001673F0">
        <w:rPr>
          <w:spacing w:val="-1"/>
        </w:rPr>
        <w:t>as a</w:t>
      </w:r>
      <w:r w:rsidRPr="001673F0">
        <w:rPr>
          <w:spacing w:val="-2"/>
        </w:rPr>
        <w:t xml:space="preserve"> </w:t>
      </w:r>
      <w:r w:rsidRPr="001673F0">
        <w:rPr>
          <w:spacing w:val="-1"/>
        </w:rPr>
        <w:t>TSI</w:t>
      </w:r>
      <w:r w:rsidRPr="001673F0">
        <w:t xml:space="preserve"> school if</w:t>
      </w:r>
      <w:r w:rsidRPr="001673F0">
        <w:rPr>
          <w:spacing w:val="-3"/>
        </w:rPr>
        <w:t xml:space="preserve"> </w:t>
      </w:r>
      <w:r w:rsidRPr="001673F0">
        <w:rPr>
          <w:spacing w:val="-1"/>
        </w:rPr>
        <w:t>they</w:t>
      </w:r>
      <w:r w:rsidRPr="001673F0">
        <w:t xml:space="preserve"> </w:t>
      </w:r>
      <w:r w:rsidRPr="001673F0">
        <w:rPr>
          <w:spacing w:val="-1"/>
        </w:rPr>
        <w:t>have</w:t>
      </w:r>
      <w:r w:rsidRPr="001673F0">
        <w:rPr>
          <w:spacing w:val="-2"/>
        </w:rPr>
        <w:t xml:space="preserve"> one or more subgroups</w:t>
      </w:r>
      <w:r w:rsidRPr="001673F0">
        <w:t xml:space="preserve"> whose accountability school index value is lower than the annually determined Lowest Performance Threshold.  This identification will occur annually. </w:t>
      </w:r>
      <w:r w:rsidRPr="00B83D1C">
        <w:rPr>
          <w:spacing w:val="-1"/>
        </w:rPr>
        <w:t>These</w:t>
      </w:r>
      <w:r w:rsidRPr="00B83D1C">
        <w:t xml:space="preserve"> </w:t>
      </w:r>
      <w:r w:rsidRPr="00B83D1C">
        <w:rPr>
          <w:spacing w:val="-1"/>
        </w:rPr>
        <w:t>schools</w:t>
      </w:r>
      <w:r w:rsidRPr="00B83D1C">
        <w:rPr>
          <w:spacing w:val="-2"/>
        </w:rPr>
        <w:t xml:space="preserve"> </w:t>
      </w:r>
      <w:r w:rsidRPr="00B83D1C">
        <w:t xml:space="preserve">will </w:t>
      </w:r>
      <w:r w:rsidRPr="00B83D1C">
        <w:rPr>
          <w:spacing w:val="-1"/>
        </w:rPr>
        <w:t>be</w:t>
      </w:r>
      <w:r w:rsidRPr="00B83D1C">
        <w:rPr>
          <w:spacing w:val="-2"/>
        </w:rPr>
        <w:t xml:space="preserve"> </w:t>
      </w:r>
      <w:r w:rsidRPr="00B83D1C">
        <w:rPr>
          <w:spacing w:val="-1"/>
        </w:rPr>
        <w:t>first</w:t>
      </w:r>
      <w:r w:rsidRPr="00B83D1C">
        <w:rPr>
          <w:spacing w:val="1"/>
        </w:rPr>
        <w:t xml:space="preserve"> </w:t>
      </w:r>
      <w:r w:rsidRPr="00B83D1C">
        <w:rPr>
          <w:spacing w:val="-1"/>
        </w:rPr>
        <w:t>identified</w:t>
      </w:r>
      <w:r w:rsidRPr="00B83D1C">
        <w:t xml:space="preserve"> in</w:t>
      </w:r>
      <w:r w:rsidRPr="00B83D1C">
        <w:rPr>
          <w:spacing w:val="-1"/>
        </w:rPr>
        <w:t xml:space="preserve"> 2018-19</w:t>
      </w:r>
      <w:r w:rsidRPr="00B83D1C">
        <w:rPr>
          <w:spacing w:val="-2"/>
        </w:rPr>
        <w:t xml:space="preserve"> </w:t>
      </w:r>
      <w:r w:rsidRPr="00B83D1C">
        <w:rPr>
          <w:spacing w:val="-1"/>
        </w:rPr>
        <w:t>for</w:t>
      </w:r>
      <w:r w:rsidRPr="00B83D1C">
        <w:t xml:space="preserve"> </w:t>
      </w:r>
      <w:r w:rsidRPr="00B83D1C">
        <w:rPr>
          <w:spacing w:val="-1"/>
        </w:rPr>
        <w:t>support</w:t>
      </w:r>
      <w:r>
        <w:rPr>
          <w:spacing w:val="-1"/>
        </w:rPr>
        <w:t xml:space="preserve"> and notified</w:t>
      </w:r>
      <w:r w:rsidRPr="00B83D1C">
        <w:t xml:space="preserve"> in</w:t>
      </w:r>
      <w:r w:rsidRPr="00B83D1C">
        <w:rPr>
          <w:spacing w:val="-1"/>
        </w:rPr>
        <w:t xml:space="preserve"> the</w:t>
      </w:r>
      <w:r w:rsidRPr="00B83D1C">
        <w:rPr>
          <w:spacing w:val="-2"/>
        </w:rPr>
        <w:t xml:space="preserve"> </w:t>
      </w:r>
      <w:r w:rsidRPr="00B83D1C">
        <w:rPr>
          <w:spacing w:val="-1"/>
        </w:rPr>
        <w:t>fall</w:t>
      </w:r>
      <w:r w:rsidRPr="00B83D1C">
        <w:rPr>
          <w:spacing w:val="-2"/>
        </w:rPr>
        <w:t xml:space="preserve"> </w:t>
      </w:r>
      <w:r w:rsidRPr="00B83D1C">
        <w:t>of</w:t>
      </w:r>
      <w:r>
        <w:rPr>
          <w:spacing w:val="73"/>
        </w:rPr>
        <w:t xml:space="preserve"> </w:t>
      </w:r>
      <w:r w:rsidRPr="00B83D1C">
        <w:rPr>
          <w:spacing w:val="-1"/>
        </w:rPr>
        <w:t>2018</w:t>
      </w:r>
      <w:r>
        <w:rPr>
          <w:spacing w:val="-1"/>
        </w:rPr>
        <w:t xml:space="preserve">. </w:t>
      </w:r>
      <w:r w:rsidRPr="001673F0">
        <w:t>All schools identified as TSI under this methodology will qualify for additional targeted support.</w:t>
      </w:r>
    </w:p>
    <w:p w14:paraId="42062A04" w14:textId="77777777" w:rsidR="00C7105E" w:rsidRPr="00697AC2" w:rsidRDefault="00C7105E" w:rsidP="00CA096F">
      <w:pPr>
        <w:pStyle w:val="Default"/>
        <w:numPr>
          <w:ilvl w:val="0"/>
          <w:numId w:val="35"/>
        </w:numPr>
        <w:spacing w:after="120"/>
        <w:ind w:left="1440"/>
        <w:rPr>
          <w:rFonts w:ascii="Calibri" w:hAnsi="Calibri"/>
          <w:sz w:val="22"/>
          <w:szCs w:val="22"/>
        </w:rPr>
      </w:pPr>
      <w:r w:rsidRPr="00697AC2">
        <w:rPr>
          <w:rFonts w:ascii="Calibri" w:hAnsi="Calibri"/>
          <w:sz w:val="22"/>
          <w:szCs w:val="22"/>
        </w:rPr>
        <w:t xml:space="preserve"> </w:t>
      </w:r>
      <w:r w:rsidRPr="00697AC2">
        <w:rPr>
          <w:rFonts w:ascii="Calibri" w:hAnsi="Calibri"/>
          <w:sz w:val="22"/>
          <w:szCs w:val="22"/>
          <w:u w:val="single"/>
        </w:rPr>
        <w:t>Additional Statewide Categories of Schools</w:t>
      </w:r>
      <w:r w:rsidRPr="00697AC2">
        <w:rPr>
          <w:rFonts w:ascii="Calibri" w:hAnsi="Calibri"/>
          <w:sz w:val="22"/>
          <w:szCs w:val="22"/>
        </w:rPr>
        <w:t>. If the State c</w:t>
      </w:r>
      <w:r>
        <w:rPr>
          <w:rFonts w:ascii="Calibri" w:hAnsi="Calibri"/>
          <w:sz w:val="22"/>
          <w:szCs w:val="22"/>
        </w:rPr>
        <w:t xml:space="preserve">hooses, at its discretion, to </w:t>
      </w:r>
      <w:r w:rsidRPr="00697AC2">
        <w:rPr>
          <w:rFonts w:ascii="Calibri" w:hAnsi="Calibri"/>
          <w:sz w:val="22"/>
          <w:szCs w:val="22"/>
        </w:rPr>
        <w:t xml:space="preserve">include additional statewide categories of schools, describe those categories. </w:t>
      </w:r>
    </w:p>
    <w:p w14:paraId="2A4A1460" w14:textId="77777777" w:rsidR="00C7105E" w:rsidRPr="00EC50F4" w:rsidRDefault="00C7105E" w:rsidP="00CA096F">
      <w:pPr>
        <w:rPr>
          <w:rFonts w:ascii="Calibri" w:hAnsi="Calibri"/>
        </w:rPr>
      </w:pPr>
      <w:r w:rsidRPr="00094333">
        <w:t xml:space="preserve">Each school that qualifies for an index score based on the criteria in Section A.4.v.b. </w:t>
      </w:r>
      <w:proofErr w:type="gramStart"/>
      <w:r w:rsidRPr="00094333">
        <w:t>will</w:t>
      </w:r>
      <w:proofErr w:type="gramEnd"/>
      <w:r w:rsidRPr="00094333">
        <w:t xml:space="preserve"> receive a designation</w:t>
      </w:r>
      <w:r>
        <w:t xml:space="preserve"> of either CSI, TSI, or Universal Support</w:t>
      </w:r>
      <w:r w:rsidRPr="00094333">
        <w:t>.</w:t>
      </w:r>
      <w:r>
        <w:t xml:space="preserve"> A small school that does not qualify for an index score due not meeting the minimum </w:t>
      </w:r>
      <w:r>
        <w:rPr>
          <w:i/>
        </w:rPr>
        <w:t>n</w:t>
      </w:r>
      <w:r>
        <w:t xml:space="preserve"> it one or more academic indicators will receive a designation of either Small School CSI, Small School TSI, or Small School Support as described in </w:t>
      </w:r>
      <w:r w:rsidRPr="00BC64BB">
        <w:t>Section A.4.v.c.</w:t>
      </w:r>
    </w:p>
    <w:p w14:paraId="74EF4BC5" w14:textId="77777777" w:rsidR="007E1296" w:rsidRDefault="007E1296">
      <w:r>
        <w:br w:type="page"/>
      </w:r>
    </w:p>
    <w:p w14:paraId="384BFBE1" w14:textId="77777777" w:rsidR="00C7105E" w:rsidRPr="00697AC2" w:rsidRDefault="00C7105E" w:rsidP="00CA096F">
      <w:pPr>
        <w:pStyle w:val="Default"/>
        <w:numPr>
          <w:ilvl w:val="0"/>
          <w:numId w:val="34"/>
        </w:numPr>
        <w:spacing w:after="120"/>
        <w:ind w:hanging="360"/>
        <w:rPr>
          <w:rFonts w:ascii="Calibri" w:hAnsi="Calibri"/>
          <w:sz w:val="22"/>
          <w:szCs w:val="22"/>
        </w:rPr>
      </w:pPr>
      <w:r w:rsidRPr="00F72EC2">
        <w:rPr>
          <w:rFonts w:ascii="Calibri" w:hAnsi="Calibri"/>
          <w:b/>
          <w:sz w:val="22"/>
          <w:szCs w:val="22"/>
        </w:rPr>
        <w:lastRenderedPageBreak/>
        <w:t>Annual Measurement of Achievement</w:t>
      </w:r>
      <w:r w:rsidRPr="00697AC2">
        <w:rPr>
          <w:rFonts w:ascii="Calibri" w:hAnsi="Calibri"/>
          <w:sz w:val="22"/>
          <w:szCs w:val="22"/>
        </w:rPr>
        <w:t xml:space="preserve"> </w:t>
      </w:r>
      <w:r w:rsidRPr="00697AC2">
        <w:rPr>
          <w:rFonts w:ascii="Calibri" w:hAnsi="Calibri"/>
          <w:i/>
          <w:iCs/>
          <w:sz w:val="22"/>
          <w:szCs w:val="22"/>
        </w:rPr>
        <w:t>(ESEA section 1111(c</w:t>
      </w:r>
      <w:proofErr w:type="gramStart"/>
      <w:r w:rsidRPr="00697AC2">
        <w:rPr>
          <w:rFonts w:ascii="Calibri" w:hAnsi="Calibri"/>
          <w:i/>
          <w:iCs/>
          <w:sz w:val="22"/>
          <w:szCs w:val="22"/>
        </w:rPr>
        <w:t>)(</w:t>
      </w:r>
      <w:proofErr w:type="gramEnd"/>
      <w:r w:rsidRPr="00697AC2">
        <w:rPr>
          <w:rFonts w:ascii="Calibri" w:hAnsi="Calibri"/>
          <w:i/>
          <w:iCs/>
          <w:sz w:val="22"/>
          <w:szCs w:val="22"/>
        </w:rPr>
        <w:t>4)(E)(iii))</w:t>
      </w:r>
      <w:r>
        <w:rPr>
          <w:rFonts w:ascii="Calibri" w:hAnsi="Calibri"/>
          <w:sz w:val="22"/>
          <w:szCs w:val="22"/>
        </w:rPr>
        <w:t xml:space="preserve">: Describe how the </w:t>
      </w:r>
      <w:r w:rsidRPr="00697AC2">
        <w:rPr>
          <w:rFonts w:ascii="Calibri" w:hAnsi="Calibri"/>
          <w:sz w:val="22"/>
          <w:szCs w:val="22"/>
        </w:rPr>
        <w:t>State factors the requirement for 95 percent student participatio</w:t>
      </w:r>
      <w:r>
        <w:rPr>
          <w:rFonts w:ascii="Calibri" w:hAnsi="Calibri"/>
          <w:sz w:val="22"/>
          <w:szCs w:val="22"/>
        </w:rPr>
        <w:t xml:space="preserve">n in statewide mathematics and </w:t>
      </w:r>
      <w:r w:rsidRPr="00697AC2">
        <w:rPr>
          <w:rFonts w:ascii="Calibri" w:hAnsi="Calibri"/>
          <w:sz w:val="22"/>
          <w:szCs w:val="22"/>
        </w:rPr>
        <w:t xml:space="preserve">reading/language arts assessments into the statewide accountability system. </w:t>
      </w:r>
    </w:p>
    <w:p w14:paraId="76B5B1FC" w14:textId="77777777" w:rsidR="00C7105E" w:rsidRDefault="00C7105E" w:rsidP="00CA096F">
      <w:r>
        <w:t xml:space="preserve">Alaska recognizes the importance of statewide assessments to inform the public about the performance of schools, to provide information so that schools can improve, and to ensure that </w:t>
      </w:r>
      <w:r w:rsidRPr="00DB3869">
        <w:rPr>
          <w:i/>
        </w:rPr>
        <w:t>all</w:t>
      </w:r>
      <w:r>
        <w:t xml:space="preserve"> students are receiving an excellent education. Alaska law respects that parents have the right to exclude their students from participation in specific instructional activities and statewide assessments. Schools may not coerce parents or their students into participating in the assessments.</w:t>
      </w:r>
    </w:p>
    <w:p w14:paraId="6BD333A7" w14:textId="77777777" w:rsidR="00C7105E" w:rsidRDefault="00C7105E" w:rsidP="00CA096F">
      <w:r>
        <w:t xml:space="preserve">Alaska expects districts and schools to communicate with teachers and parents about the importance of the assessments and to provide every encouragement to students to participate and do their best on the assessments. </w:t>
      </w:r>
    </w:p>
    <w:p w14:paraId="3B26862E" w14:textId="77777777" w:rsidR="00C7105E" w:rsidRDefault="00C7105E" w:rsidP="0083447B">
      <w:pPr>
        <w:rPr>
          <w:rFonts w:ascii="Calibri" w:hAnsi="Calibri"/>
        </w:rPr>
      </w:pPr>
      <w:r>
        <w:rPr>
          <w:rFonts w:ascii="Calibri" w:hAnsi="Calibri"/>
        </w:rPr>
        <w:t xml:space="preserve">Alaska will continue to calculate the participation rate based on the percentage of students enrolled in grades 3-9 on the first day of testing who receive a valid score. </w:t>
      </w:r>
      <w:r w:rsidRPr="00AA7DD0">
        <w:rPr>
          <w:rFonts w:ascii="Calibri" w:hAnsi="Calibri"/>
        </w:rPr>
        <w:t xml:space="preserve">If a school does not meet the participation rate requirement, the denominator </w:t>
      </w:r>
      <w:r>
        <w:rPr>
          <w:rFonts w:ascii="Calibri" w:hAnsi="Calibri"/>
        </w:rPr>
        <w:t xml:space="preserve">of the Academic Achievement indicator </w:t>
      </w:r>
      <w:r w:rsidRPr="00AA7DD0">
        <w:rPr>
          <w:rFonts w:ascii="Calibri" w:hAnsi="Calibri"/>
        </w:rPr>
        <w:t>will be 95 percent of all FAY students</w:t>
      </w:r>
      <w:r>
        <w:rPr>
          <w:rFonts w:ascii="Calibri" w:hAnsi="Calibri"/>
        </w:rPr>
        <w:t xml:space="preserve"> in grades 3-9. </w:t>
      </w:r>
      <w:r w:rsidRPr="003D78E5">
        <w:rPr>
          <w:rFonts w:ascii="Calibri" w:hAnsi="Calibri"/>
        </w:rPr>
        <w:t>ESSA does not provide flexibility for a participation n-size when calculating the Academic Achievement indicator.</w:t>
      </w:r>
    </w:p>
    <w:p w14:paraId="3D3EBCEB" w14:textId="77777777" w:rsidR="00C7105E" w:rsidRDefault="00C7105E" w:rsidP="00667DCD">
      <w:pPr>
        <w:rPr>
          <w:rFonts w:ascii="Calibri" w:hAnsi="Calibri"/>
        </w:rPr>
      </w:pPr>
      <w:r>
        <w:rPr>
          <w:rFonts w:ascii="Calibri" w:hAnsi="Calibri"/>
        </w:rPr>
        <w:t>Schools that miss the 95 percent participation rate target for the all students group or any subgroup for two consecutive years must create and submit an improvement plan to the district. The district must review and approve the plans for each school. The plan must be created with stakeholders and must include documentation of the communication and other efforts the school made to inform parents of the importance of participating in the statewide assessments, while recognizing parents’ rights under State law regarding their child’s participation in those assessments. The plan must also document training that teachers have received in the importance of the assessments and how to communicate with parents and students regarding the assessments. The plan must document efforts made to encourage participation by all students in all subgroups, and that no students have been systematically excluded from testing. The plan must include steps the school will take to increase the participation rate in future years. The plan must include the strategies and samples of the materials that will be used by the school and district to educate parents about the importance of assessments and their role in student learning.</w:t>
      </w:r>
    </w:p>
    <w:p w14:paraId="714427B5" w14:textId="57218407" w:rsidR="004C131C" w:rsidRDefault="00C7105E">
      <w:r>
        <w:rPr>
          <w:rFonts w:ascii="Calibri" w:hAnsi="Calibri"/>
        </w:rPr>
        <w:t xml:space="preserve">DEED will work with districts with a significant number of schools missing the 95 percent participation rate target, or those in which one or more schools miss the 95 percent target over a number of years, to determine a process for improvement. </w:t>
      </w:r>
      <w:r w:rsidR="004C131C">
        <w:br w:type="page"/>
      </w:r>
    </w:p>
    <w:p w14:paraId="7592E69A" w14:textId="080E0352" w:rsidR="00C7105E" w:rsidRPr="00697AC2" w:rsidRDefault="00C7105E" w:rsidP="00CA096F">
      <w:pPr>
        <w:pStyle w:val="Default"/>
        <w:ind w:left="1080" w:hanging="360"/>
        <w:rPr>
          <w:rFonts w:ascii="Calibri" w:hAnsi="Calibri"/>
          <w:sz w:val="22"/>
          <w:szCs w:val="22"/>
        </w:rPr>
      </w:pPr>
      <w:r w:rsidRPr="00697AC2">
        <w:rPr>
          <w:rFonts w:ascii="Calibri" w:hAnsi="Calibri"/>
          <w:sz w:val="22"/>
          <w:szCs w:val="22"/>
        </w:rPr>
        <w:lastRenderedPageBreak/>
        <w:t xml:space="preserve">viii. </w:t>
      </w:r>
      <w:r w:rsidRPr="00F72EC2">
        <w:rPr>
          <w:rFonts w:ascii="Calibri" w:hAnsi="Calibri"/>
          <w:b/>
          <w:sz w:val="22"/>
          <w:szCs w:val="22"/>
        </w:rPr>
        <w:t>Continued Support for School and LEA Improvement</w:t>
      </w:r>
      <w:r w:rsidRPr="00697AC2">
        <w:rPr>
          <w:rFonts w:ascii="Calibri" w:hAnsi="Calibri"/>
          <w:sz w:val="22"/>
          <w:szCs w:val="22"/>
        </w:rPr>
        <w:t xml:space="preserve"> </w:t>
      </w:r>
      <w:r w:rsidRPr="00697AC2">
        <w:rPr>
          <w:rFonts w:ascii="Calibri" w:hAnsi="Calibri"/>
          <w:i/>
          <w:iCs/>
          <w:sz w:val="22"/>
          <w:szCs w:val="22"/>
        </w:rPr>
        <w:t>(ESEA section 1111(d</w:t>
      </w:r>
      <w:proofErr w:type="gramStart"/>
      <w:r w:rsidRPr="00697AC2">
        <w:rPr>
          <w:rFonts w:ascii="Calibri" w:hAnsi="Calibri"/>
          <w:i/>
          <w:iCs/>
          <w:sz w:val="22"/>
          <w:szCs w:val="22"/>
        </w:rPr>
        <w:t>)(</w:t>
      </w:r>
      <w:proofErr w:type="gramEnd"/>
      <w:r w:rsidRPr="00697AC2">
        <w:rPr>
          <w:rFonts w:ascii="Calibri" w:hAnsi="Calibri"/>
          <w:i/>
          <w:iCs/>
          <w:sz w:val="22"/>
          <w:szCs w:val="22"/>
        </w:rPr>
        <w:t xml:space="preserve">3)(A)) </w:t>
      </w:r>
    </w:p>
    <w:p w14:paraId="1FA58C92" w14:textId="77777777" w:rsidR="00C7105E" w:rsidRPr="005D4690" w:rsidRDefault="00C7105E" w:rsidP="00CA096F">
      <w:pPr>
        <w:pStyle w:val="Default"/>
        <w:numPr>
          <w:ilvl w:val="0"/>
          <w:numId w:val="33"/>
        </w:numPr>
        <w:spacing w:after="120"/>
        <w:ind w:left="1440"/>
        <w:rPr>
          <w:rFonts w:ascii="Calibri" w:hAnsi="Calibri"/>
          <w:sz w:val="22"/>
          <w:szCs w:val="22"/>
        </w:rPr>
      </w:pPr>
      <w:r w:rsidRPr="00697AC2">
        <w:rPr>
          <w:rFonts w:ascii="Calibri" w:hAnsi="Calibri"/>
          <w:sz w:val="22"/>
          <w:szCs w:val="22"/>
          <w:u w:val="single"/>
        </w:rPr>
        <w:t>Exit Criteria for Comprehensive Support and Improvement Schools</w:t>
      </w:r>
      <w:r>
        <w:rPr>
          <w:rFonts w:ascii="Calibri" w:hAnsi="Calibri"/>
          <w:sz w:val="22"/>
          <w:szCs w:val="22"/>
        </w:rPr>
        <w:t xml:space="preserve">. Describe the </w:t>
      </w:r>
      <w:r w:rsidRPr="00697AC2">
        <w:rPr>
          <w:rFonts w:ascii="Calibri" w:hAnsi="Calibri"/>
          <w:sz w:val="22"/>
          <w:szCs w:val="22"/>
        </w:rPr>
        <w:t>statewide exit criteria, established by the State,</w:t>
      </w:r>
      <w:r>
        <w:rPr>
          <w:rFonts w:ascii="Calibri" w:hAnsi="Calibri"/>
          <w:sz w:val="22"/>
          <w:szCs w:val="22"/>
        </w:rPr>
        <w:t xml:space="preserve"> for schools identified for </w:t>
      </w:r>
      <w:r w:rsidRPr="00697AC2">
        <w:rPr>
          <w:rFonts w:ascii="Calibri" w:hAnsi="Calibri"/>
          <w:sz w:val="22"/>
          <w:szCs w:val="22"/>
        </w:rPr>
        <w:t>comprehensive support and improvement</w:t>
      </w:r>
      <w:r>
        <w:rPr>
          <w:rFonts w:ascii="Calibri" w:hAnsi="Calibri"/>
          <w:sz w:val="22"/>
          <w:szCs w:val="22"/>
        </w:rPr>
        <w:t xml:space="preserve">, including the number of years </w:t>
      </w:r>
      <w:r w:rsidRPr="005D4690">
        <w:rPr>
          <w:rFonts w:ascii="Calibri" w:hAnsi="Calibri"/>
          <w:sz w:val="22"/>
          <w:szCs w:val="22"/>
        </w:rPr>
        <w:t>not to</w:t>
      </w:r>
      <w:r>
        <w:rPr>
          <w:rFonts w:ascii="Calibri" w:hAnsi="Calibri"/>
          <w:sz w:val="22"/>
          <w:szCs w:val="22"/>
        </w:rPr>
        <w:t xml:space="preserve"> </w:t>
      </w:r>
      <w:r w:rsidRPr="005D4690">
        <w:rPr>
          <w:rFonts w:ascii="Calibri" w:hAnsi="Calibri"/>
          <w:sz w:val="22"/>
          <w:szCs w:val="22"/>
        </w:rPr>
        <w:t xml:space="preserve">exceed four) over which schools are expected to meet such criteria. </w:t>
      </w:r>
    </w:p>
    <w:p w14:paraId="20BCAA12" w14:textId="77777777" w:rsidR="00C7105E" w:rsidRPr="002B6EC6" w:rsidRDefault="00C7105E" w:rsidP="001E3DBF">
      <w:pPr>
        <w:pStyle w:val="BodyText"/>
        <w:kinsoku w:val="0"/>
        <w:overflowPunct w:val="0"/>
        <w:spacing w:before="8"/>
        <w:rPr>
          <w:rFonts w:ascii="Calibri" w:hAnsi="Calibri"/>
        </w:rPr>
      </w:pPr>
      <w:r w:rsidRPr="001673F0">
        <w:t xml:space="preserve">As described previously, schools may exit CSI status after meeting the exit criteria aligned to the entrance criteria. </w:t>
      </w:r>
      <w:r w:rsidRPr="001673F0">
        <w:rPr>
          <w:rFonts w:ascii="Calibri" w:hAnsi="Calibri" w:cs="Calibri"/>
        </w:rPr>
        <w:t xml:space="preserve">A CSI </w:t>
      </w:r>
      <w:r w:rsidRPr="001673F0">
        <w:rPr>
          <w:rFonts w:ascii="Calibri" w:hAnsi="Calibri" w:cs="Calibri"/>
          <w:spacing w:val="-1"/>
        </w:rPr>
        <w:t>school</w:t>
      </w:r>
      <w:r w:rsidRPr="001673F0">
        <w:rPr>
          <w:rFonts w:ascii="Calibri" w:hAnsi="Calibri" w:cs="Calibri"/>
          <w:spacing w:val="-2"/>
        </w:rPr>
        <w:t xml:space="preserve"> designated under Criteria 1 </w:t>
      </w:r>
      <w:r w:rsidRPr="001673F0">
        <w:rPr>
          <w:rFonts w:ascii="Calibri" w:hAnsi="Calibri" w:cs="Calibri"/>
        </w:rPr>
        <w:t>may</w:t>
      </w:r>
      <w:r w:rsidRPr="001673F0">
        <w:rPr>
          <w:rFonts w:ascii="Calibri" w:hAnsi="Calibri" w:cs="Calibri"/>
          <w:spacing w:val="-2"/>
        </w:rPr>
        <w:t xml:space="preserve"> </w:t>
      </w:r>
      <w:r w:rsidRPr="001673F0">
        <w:rPr>
          <w:rFonts w:ascii="Calibri" w:hAnsi="Calibri" w:cs="Calibri"/>
          <w:spacing w:val="-1"/>
        </w:rPr>
        <w:t>exit after three years</w:t>
      </w:r>
      <w:r w:rsidRPr="001673F0">
        <w:rPr>
          <w:rFonts w:ascii="Calibri" w:hAnsi="Calibri" w:cs="Calibri"/>
        </w:rPr>
        <w:t xml:space="preserve"> if </w:t>
      </w:r>
      <w:r w:rsidRPr="001673F0">
        <w:rPr>
          <w:rFonts w:ascii="Calibri" w:hAnsi="Calibri" w:cs="Calibri"/>
          <w:spacing w:val="-1"/>
        </w:rPr>
        <w:t>the</w:t>
      </w:r>
      <w:r w:rsidRPr="001673F0">
        <w:rPr>
          <w:rFonts w:ascii="Calibri" w:hAnsi="Calibri" w:cs="Calibri"/>
        </w:rPr>
        <w:t xml:space="preserve"> </w:t>
      </w:r>
      <w:r w:rsidRPr="001673F0">
        <w:rPr>
          <w:rFonts w:ascii="Calibri" w:hAnsi="Calibri" w:cs="Calibri"/>
          <w:spacing w:val="-1"/>
        </w:rPr>
        <w:t>school</w:t>
      </w:r>
      <w:r w:rsidRPr="001673F0">
        <w:rPr>
          <w:rFonts w:ascii="Calibri" w:hAnsi="Calibri" w:cs="Calibri"/>
        </w:rPr>
        <w:t xml:space="preserve"> no longer meets the lowest 5% </w:t>
      </w:r>
      <w:r>
        <w:rPr>
          <w:rFonts w:ascii="Calibri" w:hAnsi="Calibri" w:cs="Calibri"/>
        </w:rPr>
        <w:t>entrance</w:t>
      </w:r>
      <w:r w:rsidRPr="001673F0">
        <w:rPr>
          <w:rFonts w:ascii="Calibri" w:hAnsi="Calibri" w:cs="Calibri"/>
        </w:rPr>
        <w:t xml:space="preserve"> criteria</w:t>
      </w:r>
      <w:r>
        <w:rPr>
          <w:rFonts w:ascii="Calibri" w:hAnsi="Calibri" w:cs="Calibri"/>
        </w:rPr>
        <w:t xml:space="preserve"> and if the school’s accountability index score has improved since the CSI designation. A school may also exit CSI</w:t>
      </w:r>
      <w:r w:rsidRPr="001673F0">
        <w:rPr>
          <w:rFonts w:ascii="Calibri" w:hAnsi="Calibri" w:cs="Calibri"/>
        </w:rPr>
        <w:t xml:space="preserve"> if it meets the school’s long</w:t>
      </w:r>
      <w:r>
        <w:rPr>
          <w:rFonts w:ascii="Calibri" w:hAnsi="Calibri" w:cs="Calibri"/>
        </w:rPr>
        <w:t>-</w:t>
      </w:r>
      <w:r w:rsidRPr="001673F0">
        <w:rPr>
          <w:rFonts w:ascii="Calibri" w:hAnsi="Calibri" w:cs="Calibri"/>
        </w:rPr>
        <w:t xml:space="preserve">term goal or measures of interim progress for the all students’ group in academic achievement in ELA and Mathematics, 4-year graduation rate, and EL progress (as applicable). </w:t>
      </w:r>
      <w:r>
        <w:rPr>
          <w:rFonts w:ascii="Calibri" w:hAnsi="Calibri" w:cs="Calibri"/>
        </w:rPr>
        <w:t xml:space="preserve">A </w:t>
      </w:r>
      <w:r>
        <w:t>CSI school</w:t>
      </w:r>
      <w:r w:rsidRPr="001673F0">
        <w:t xml:space="preserve"> that entered due to a low graduation rate can exit CSI status the first year the school’s four-year graduation cohort rate </w:t>
      </w:r>
      <w:r>
        <w:t xml:space="preserve">exceeds </w:t>
      </w:r>
      <w:r w:rsidRPr="001673F0">
        <w:t xml:space="preserve">the </w:t>
      </w:r>
      <w:r w:rsidRPr="001673F0">
        <w:rPr>
          <w:spacing w:val="-1"/>
        </w:rPr>
        <w:t>66⅔%</w:t>
      </w:r>
      <w:r w:rsidRPr="001673F0">
        <w:t xml:space="preserve"> requirement. Designated CSI schools due to low subgroup performance can exit CSI status the first year the school does not meet the TSI entrance criteria (has no subgroups performing at or below the Lowest Performance Threshold).</w:t>
      </w:r>
      <w:r>
        <w:t xml:space="preserve"> </w:t>
      </w:r>
      <w:r>
        <w:rPr>
          <w:spacing w:val="-1"/>
        </w:rPr>
        <w:t xml:space="preserve">Small School CSI schools may exit CSI status after three years if the small school performance review as described in Section A.4.v.c. </w:t>
      </w:r>
      <w:proofErr w:type="gramStart"/>
      <w:r>
        <w:rPr>
          <w:spacing w:val="-1"/>
        </w:rPr>
        <w:t>no</w:t>
      </w:r>
      <w:proofErr w:type="gramEnd"/>
      <w:r>
        <w:rPr>
          <w:spacing w:val="-1"/>
        </w:rPr>
        <w:t xml:space="preserve"> longer identifies them as CSI.</w:t>
      </w:r>
    </w:p>
    <w:p w14:paraId="00D545D7" w14:textId="77777777" w:rsidR="00C7105E" w:rsidRPr="00697AC2" w:rsidRDefault="00C7105E" w:rsidP="00CA096F">
      <w:pPr>
        <w:pStyle w:val="Default"/>
        <w:numPr>
          <w:ilvl w:val="0"/>
          <w:numId w:val="33"/>
        </w:numPr>
        <w:spacing w:after="120"/>
        <w:ind w:left="1440"/>
        <w:rPr>
          <w:rFonts w:ascii="Calibri" w:hAnsi="Calibri"/>
          <w:sz w:val="22"/>
          <w:szCs w:val="22"/>
        </w:rPr>
      </w:pPr>
      <w:r w:rsidRPr="00697AC2">
        <w:rPr>
          <w:rFonts w:ascii="Calibri" w:hAnsi="Calibri"/>
          <w:sz w:val="22"/>
          <w:szCs w:val="22"/>
          <w:u w:val="single"/>
        </w:rPr>
        <w:t>Exit Criteria for Schools Receiving Additional Targeted Support</w:t>
      </w:r>
      <w:r w:rsidRPr="00697AC2">
        <w:rPr>
          <w:rFonts w:ascii="Calibri" w:hAnsi="Calibri"/>
          <w:sz w:val="22"/>
          <w:szCs w:val="22"/>
        </w:rPr>
        <w:t xml:space="preserve">. Describe the statewide exit criteria, established by the State, for schools receiving additional targeted support under ESEA section 1111(d)(2)(C), </w:t>
      </w:r>
      <w:r>
        <w:rPr>
          <w:rFonts w:ascii="Calibri" w:hAnsi="Calibri"/>
          <w:sz w:val="22"/>
          <w:szCs w:val="22"/>
        </w:rPr>
        <w:t xml:space="preserve">including the number of years </w:t>
      </w:r>
      <w:r w:rsidRPr="00697AC2">
        <w:rPr>
          <w:rFonts w:ascii="Calibri" w:hAnsi="Calibri"/>
          <w:sz w:val="22"/>
          <w:szCs w:val="22"/>
        </w:rPr>
        <w:t xml:space="preserve">over which schools are expected to meet such criteria. </w:t>
      </w:r>
    </w:p>
    <w:p w14:paraId="3C308C80" w14:textId="77777777" w:rsidR="00C7105E" w:rsidRPr="00697AC2" w:rsidRDefault="00C7105E" w:rsidP="001E3DBF">
      <w:pPr>
        <w:pStyle w:val="BodyText"/>
        <w:kinsoku w:val="0"/>
        <w:overflowPunct w:val="0"/>
        <w:spacing w:before="6"/>
        <w:rPr>
          <w:rFonts w:ascii="Calibri" w:hAnsi="Calibri"/>
        </w:rPr>
      </w:pPr>
      <w:r w:rsidRPr="001673F0">
        <w:t xml:space="preserve">As described previously, exit from TSI status is determined annually.  </w:t>
      </w:r>
      <w:r>
        <w:rPr>
          <w:color w:val="212121"/>
          <w:shd w:val="clear" w:color="auto" w:fill="FFFFFF"/>
        </w:rPr>
        <w:t xml:space="preserve">Targeted Support and Improvement schools may exit such status when the accountability index value of the subgroup that led to designation in the first place has improved and the subgroup's accountability index value no longer falls at or below the most recent Lowest Performance Threshold. </w:t>
      </w:r>
      <w:r w:rsidRPr="001673F0">
        <w:t>It is possible that a school may meet the exit criteria for one subgroup and be newly identified based on the accountability index value of another subgroup in the same year, resulting in continued identification as a TSI school for consecutive years.</w:t>
      </w:r>
    </w:p>
    <w:p w14:paraId="2D8ADFE2" w14:textId="5376A7E3" w:rsidR="00C7105E" w:rsidRPr="00697AC2" w:rsidRDefault="00C7105E" w:rsidP="00CA096F">
      <w:pPr>
        <w:pStyle w:val="Default"/>
        <w:numPr>
          <w:ilvl w:val="0"/>
          <w:numId w:val="33"/>
        </w:numPr>
        <w:spacing w:after="120"/>
        <w:ind w:left="1440"/>
        <w:rPr>
          <w:rFonts w:ascii="Calibri" w:hAnsi="Calibri"/>
          <w:sz w:val="22"/>
          <w:szCs w:val="22"/>
        </w:rPr>
      </w:pPr>
      <w:r w:rsidRPr="00697AC2">
        <w:rPr>
          <w:rFonts w:ascii="Calibri" w:hAnsi="Calibri"/>
          <w:sz w:val="22"/>
          <w:szCs w:val="22"/>
          <w:u w:val="single"/>
        </w:rPr>
        <w:t>More Rigorous Interventions.</w:t>
      </w:r>
      <w:r w:rsidRPr="00697AC2">
        <w:rPr>
          <w:rFonts w:ascii="Calibri" w:hAnsi="Calibri"/>
          <w:sz w:val="22"/>
          <w:szCs w:val="22"/>
        </w:rPr>
        <w:t xml:space="preserve"> Describe the more rigorous interventions required for schools identified for comprehensive support and impr</w:t>
      </w:r>
      <w:r>
        <w:rPr>
          <w:rFonts w:ascii="Calibri" w:hAnsi="Calibri"/>
          <w:sz w:val="22"/>
          <w:szCs w:val="22"/>
        </w:rPr>
        <w:t xml:space="preserve">ovement that fail to meet the </w:t>
      </w:r>
      <w:r w:rsidRPr="00697AC2">
        <w:rPr>
          <w:rFonts w:ascii="Calibri" w:hAnsi="Calibri"/>
          <w:sz w:val="22"/>
          <w:szCs w:val="22"/>
        </w:rPr>
        <w:t xml:space="preserve">State’s exit criteria within a State-determined number of </w:t>
      </w:r>
      <w:r>
        <w:rPr>
          <w:rFonts w:ascii="Calibri" w:hAnsi="Calibri"/>
          <w:sz w:val="22"/>
          <w:szCs w:val="22"/>
        </w:rPr>
        <w:t xml:space="preserve">years consistent with section </w:t>
      </w:r>
      <w:r w:rsidRPr="00697AC2">
        <w:rPr>
          <w:rFonts w:ascii="Calibri" w:hAnsi="Calibri"/>
          <w:sz w:val="22"/>
          <w:szCs w:val="22"/>
        </w:rPr>
        <w:t xml:space="preserve">1111(d)(3)(A)(i)(I) of the ESEA. </w:t>
      </w:r>
    </w:p>
    <w:p w14:paraId="110003C1" w14:textId="202296D7" w:rsidR="00C7105E" w:rsidRDefault="00C7105E" w:rsidP="00CA096F">
      <w:pPr>
        <w:tabs>
          <w:tab w:val="left" w:pos="645"/>
          <w:tab w:val="left" w:pos="1035"/>
        </w:tabs>
        <w:rPr>
          <w:rFonts w:ascii="Calibri" w:hAnsi="Calibri"/>
        </w:rPr>
      </w:pPr>
      <w:r>
        <w:rPr>
          <w:rFonts w:ascii="Calibri" w:hAnsi="Calibri"/>
        </w:rPr>
        <w:t xml:space="preserve">Schools identified for comprehensive support and improvement that fail to meet the State’s exit criteria are held accountable to a rigorous improvement process, supported by district and State resources and support, with reporting of results to stakeholders. In addition to the existing system of differentiated support and oversight of struggling schools, DEED will facilitate collaboration and engagement among stakeholders including school and district staff, parents and community members, and tribal representatives, DEED staff, and the Commissioner of Education. </w:t>
      </w:r>
    </w:p>
    <w:p w14:paraId="42EF842B" w14:textId="77777777" w:rsidR="00C7105E" w:rsidRDefault="00C7105E" w:rsidP="00A6180D">
      <w:pPr>
        <w:rPr>
          <w:rFonts w:ascii="Calibri" w:hAnsi="Calibri"/>
        </w:rPr>
      </w:pPr>
      <w:r>
        <w:rPr>
          <w:rFonts w:ascii="Calibri" w:hAnsi="Calibri"/>
        </w:rPr>
        <w:t>Mid-course interventions and supports will be implemented for those schools at risk of not exiting comprehensive support and improvement status. The State and district will assess progress and support school level engagement in continuous improvement throughout the school year.</w:t>
      </w:r>
    </w:p>
    <w:p w14:paraId="79AE44ED" w14:textId="77777777" w:rsidR="00C7105E" w:rsidRPr="00C866D6" w:rsidRDefault="00C7105E" w:rsidP="00A6180D">
      <w:pPr>
        <w:pStyle w:val="Caption"/>
        <w:keepNext/>
        <w:jc w:val="center"/>
        <w:rPr>
          <w:color w:val="2F5496" w:themeColor="accent5" w:themeShade="BF"/>
          <w:sz w:val="36"/>
          <w:szCs w:val="36"/>
        </w:rPr>
      </w:pPr>
      <w:r w:rsidRPr="00C866D6">
        <w:rPr>
          <w:color w:val="2F5496" w:themeColor="accent5" w:themeShade="BF"/>
          <w:sz w:val="36"/>
          <w:szCs w:val="36"/>
        </w:rPr>
        <w:lastRenderedPageBreak/>
        <w:t>Continuous Improvement Planning Cycle</w:t>
      </w:r>
    </w:p>
    <w:p w14:paraId="2D973A1A" w14:textId="77777777" w:rsidR="00C7105E" w:rsidRDefault="00C7105E" w:rsidP="00A6180D">
      <w:pPr>
        <w:rPr>
          <w:rFonts w:ascii="Calibri" w:hAnsi="Calibri"/>
        </w:rPr>
      </w:pPr>
      <w:r>
        <w:rPr>
          <w:rFonts w:ascii="Calibri" w:hAnsi="Calibri"/>
          <w:noProof/>
        </w:rPr>
        <w:drawing>
          <wp:inline distT="0" distB="0" distL="0" distR="0" wp14:anchorId="2A96B4DE" wp14:editId="3D3F1A08">
            <wp:extent cx="5676900" cy="3171825"/>
            <wp:effectExtent l="0" t="0" r="0" b="28575"/>
            <wp:docPr id="16" name="Diagram 16" descr="Diagram of DEED's plan for a Continuous Improvement Planning Cycle which is explained in the following paragraph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D9CB09E" w14:textId="77777777" w:rsidR="00C7105E" w:rsidRDefault="00C7105E" w:rsidP="00A6180D">
      <w:pPr>
        <w:rPr>
          <w:rFonts w:ascii="Calibri" w:hAnsi="Calibri"/>
        </w:rPr>
      </w:pPr>
    </w:p>
    <w:p w14:paraId="1F306794" w14:textId="77777777" w:rsidR="00C7105E" w:rsidRDefault="00C7105E" w:rsidP="00A6180D">
      <w:pPr>
        <w:rPr>
          <w:rFonts w:ascii="Calibri" w:hAnsi="Calibri"/>
        </w:rPr>
      </w:pPr>
      <w:r>
        <w:rPr>
          <w:rFonts w:ascii="Calibri" w:hAnsi="Calibri"/>
        </w:rPr>
        <w:t>Upon failure to exit comprehensive support and improvement status after three years, DEED will initiate differentiated interventions based on need leading to increased levels of State oversight. These interventions may involve any of the following actions in alignment with existing State statute and regulation:</w:t>
      </w:r>
    </w:p>
    <w:p w14:paraId="1F026BDD" w14:textId="77777777" w:rsidR="00C7105E" w:rsidRDefault="00C7105E" w:rsidP="006641B6">
      <w:pPr>
        <w:pStyle w:val="ListParagraph"/>
        <w:numPr>
          <w:ilvl w:val="0"/>
          <w:numId w:val="51"/>
        </w:numPr>
        <w:rPr>
          <w:rFonts w:ascii="Calibri" w:hAnsi="Calibri"/>
        </w:rPr>
      </w:pPr>
      <w:r>
        <w:rPr>
          <w:rFonts w:ascii="Calibri" w:hAnsi="Calibri"/>
        </w:rPr>
        <w:t xml:space="preserve">Convening a strategic planning and support team that could include the Commissioner of Education or designee, DEED program staff, district staff, school staff, parents, tribal representatives, and other stakeholders (community members, parents, and regional school boards). This team will be given authority to recommend and direct the following types of interventions based upon need and readiness of struggling schools, as appropriate and as resources allow: </w:t>
      </w:r>
    </w:p>
    <w:p w14:paraId="3AF0C19F" w14:textId="77777777" w:rsidR="00C7105E" w:rsidRDefault="00C7105E" w:rsidP="006641B6">
      <w:pPr>
        <w:pStyle w:val="ListParagraph"/>
        <w:numPr>
          <w:ilvl w:val="0"/>
          <w:numId w:val="51"/>
        </w:numPr>
        <w:ind w:left="1327"/>
        <w:rPr>
          <w:rFonts w:ascii="Calibri" w:hAnsi="Calibri"/>
        </w:rPr>
      </w:pPr>
      <w:r w:rsidRPr="00473356">
        <w:rPr>
          <w:rFonts w:ascii="Calibri" w:hAnsi="Calibri"/>
        </w:rPr>
        <w:t>External and/or internal independent review of student achievement data, curriculum effectiveness, instructional practices, school improvement priorities, behavioral supports, and community engagement efforts.</w:t>
      </w:r>
      <w:r w:rsidRPr="00473356" w:rsidDel="003361AC">
        <w:rPr>
          <w:rFonts w:ascii="Calibri" w:hAnsi="Calibri"/>
        </w:rPr>
        <w:t xml:space="preserve"> </w:t>
      </w:r>
    </w:p>
    <w:p w14:paraId="4140BD6A" w14:textId="77777777" w:rsidR="00C7105E" w:rsidRPr="00473356" w:rsidRDefault="00C7105E" w:rsidP="006641B6">
      <w:pPr>
        <w:pStyle w:val="ListParagraph"/>
        <w:numPr>
          <w:ilvl w:val="0"/>
          <w:numId w:val="51"/>
        </w:numPr>
        <w:ind w:left="1327"/>
        <w:rPr>
          <w:rFonts w:ascii="Calibri" w:hAnsi="Calibri"/>
        </w:rPr>
      </w:pPr>
      <w:r>
        <w:rPr>
          <w:rFonts w:ascii="Calibri" w:hAnsi="Calibri"/>
        </w:rPr>
        <w:t>A</w:t>
      </w:r>
      <w:r w:rsidRPr="00473356">
        <w:rPr>
          <w:rFonts w:ascii="Calibri" w:hAnsi="Calibri"/>
        </w:rPr>
        <w:t>udit of resource allocation at the district and/or school level</w:t>
      </w:r>
      <w:r>
        <w:rPr>
          <w:rFonts w:ascii="Calibri" w:hAnsi="Calibri"/>
        </w:rPr>
        <w:t>.</w:t>
      </w:r>
    </w:p>
    <w:p w14:paraId="6BAF5E60" w14:textId="77777777" w:rsidR="00C7105E" w:rsidRDefault="00C7105E" w:rsidP="006641B6">
      <w:pPr>
        <w:pStyle w:val="ListParagraph"/>
        <w:numPr>
          <w:ilvl w:val="0"/>
          <w:numId w:val="51"/>
        </w:numPr>
        <w:ind w:left="1327"/>
        <w:rPr>
          <w:rFonts w:ascii="Calibri" w:hAnsi="Calibri"/>
        </w:rPr>
      </w:pPr>
      <w:r>
        <w:rPr>
          <w:rFonts w:ascii="Calibri" w:hAnsi="Calibri"/>
        </w:rPr>
        <w:t>On-site evaluation of school improvement practices and/or mandatory off-site school improvement work sessions/interviews.</w:t>
      </w:r>
    </w:p>
    <w:p w14:paraId="41C48508" w14:textId="77777777" w:rsidR="00C7105E" w:rsidRDefault="00C7105E" w:rsidP="006641B6">
      <w:pPr>
        <w:pStyle w:val="ListParagraph"/>
        <w:numPr>
          <w:ilvl w:val="0"/>
          <w:numId w:val="51"/>
        </w:numPr>
        <w:ind w:left="1327"/>
        <w:rPr>
          <w:rFonts w:ascii="Calibri" w:hAnsi="Calibri"/>
        </w:rPr>
      </w:pPr>
      <w:r>
        <w:rPr>
          <w:rFonts w:ascii="Calibri" w:hAnsi="Calibri"/>
        </w:rPr>
        <w:t xml:space="preserve">Periodic distance or onsite stakeholder and DEED “check-ins” to assess and support school improvement efforts. </w:t>
      </w:r>
    </w:p>
    <w:p w14:paraId="2B305CFF" w14:textId="77777777" w:rsidR="00C7105E" w:rsidRDefault="00C7105E" w:rsidP="006641B6">
      <w:pPr>
        <w:pStyle w:val="ListParagraph"/>
        <w:numPr>
          <w:ilvl w:val="0"/>
          <w:numId w:val="51"/>
        </w:numPr>
        <w:ind w:left="1327"/>
        <w:rPr>
          <w:rFonts w:ascii="Calibri" w:hAnsi="Calibri"/>
        </w:rPr>
      </w:pPr>
      <w:r>
        <w:rPr>
          <w:rFonts w:ascii="Calibri" w:hAnsi="Calibri"/>
        </w:rPr>
        <w:t xml:space="preserve">New comprehensive strategic plans written with DEED input/oversight. </w:t>
      </w:r>
    </w:p>
    <w:p w14:paraId="796C7B59" w14:textId="77777777" w:rsidR="00C7105E" w:rsidRDefault="00C7105E" w:rsidP="006641B6">
      <w:pPr>
        <w:pStyle w:val="ListParagraph"/>
        <w:numPr>
          <w:ilvl w:val="0"/>
          <w:numId w:val="51"/>
        </w:numPr>
        <w:ind w:left="1327"/>
        <w:rPr>
          <w:rFonts w:ascii="Calibri" w:hAnsi="Calibri"/>
        </w:rPr>
      </w:pPr>
      <w:r>
        <w:rPr>
          <w:rFonts w:ascii="Calibri" w:hAnsi="Calibri"/>
        </w:rPr>
        <w:t>Assignment of School Improvement Coach to district or school.</w:t>
      </w:r>
    </w:p>
    <w:p w14:paraId="51C507EE" w14:textId="77777777" w:rsidR="00C7105E" w:rsidRDefault="00C7105E" w:rsidP="006641B6">
      <w:pPr>
        <w:pStyle w:val="ListParagraph"/>
        <w:numPr>
          <w:ilvl w:val="0"/>
          <w:numId w:val="51"/>
        </w:numPr>
        <w:ind w:left="1327"/>
        <w:rPr>
          <w:rFonts w:ascii="Calibri" w:hAnsi="Calibri"/>
        </w:rPr>
      </w:pPr>
      <w:r>
        <w:rPr>
          <w:rFonts w:ascii="Calibri" w:hAnsi="Calibri"/>
        </w:rPr>
        <w:t xml:space="preserve">More focused training and/or technical assistance. </w:t>
      </w:r>
    </w:p>
    <w:p w14:paraId="0ECE2662" w14:textId="77777777" w:rsidR="00C7105E" w:rsidRDefault="00C7105E" w:rsidP="006641B6">
      <w:pPr>
        <w:pStyle w:val="ListParagraph"/>
        <w:numPr>
          <w:ilvl w:val="0"/>
          <w:numId w:val="51"/>
        </w:numPr>
        <w:ind w:left="1327"/>
        <w:rPr>
          <w:rFonts w:ascii="Calibri" w:hAnsi="Calibri"/>
        </w:rPr>
      </w:pPr>
      <w:r>
        <w:rPr>
          <w:rFonts w:ascii="Calibri" w:hAnsi="Calibri"/>
        </w:rPr>
        <w:lastRenderedPageBreak/>
        <w:t>District and State level direction of school improvement funds, other applicable federal funds, or other state or local funds toward required interventions such as cohesive professional development and leadership development.</w:t>
      </w:r>
    </w:p>
    <w:p w14:paraId="15A326D1" w14:textId="77777777" w:rsidR="00C7105E" w:rsidRPr="00C866D6" w:rsidRDefault="00C7105E" w:rsidP="006641B6">
      <w:pPr>
        <w:pStyle w:val="ListParagraph"/>
        <w:numPr>
          <w:ilvl w:val="0"/>
          <w:numId w:val="51"/>
        </w:numPr>
        <w:ind w:left="1327"/>
      </w:pPr>
      <w:r w:rsidRPr="00A02850">
        <w:t>Replacement of teachers and principals</w:t>
      </w:r>
      <w:r>
        <w:t>.</w:t>
      </w:r>
    </w:p>
    <w:p w14:paraId="2F14CFA8" w14:textId="77777777" w:rsidR="00C7105E" w:rsidRPr="00EC50F4" w:rsidRDefault="00C7105E" w:rsidP="006641B6">
      <w:pPr>
        <w:pStyle w:val="ListParagraph"/>
        <w:numPr>
          <w:ilvl w:val="0"/>
          <w:numId w:val="51"/>
        </w:numPr>
        <w:ind w:left="1327"/>
        <w:rPr>
          <w:rFonts w:ascii="Calibri" w:hAnsi="Calibri"/>
        </w:rPr>
      </w:pPr>
      <w:r>
        <w:rPr>
          <w:rFonts w:ascii="Calibri" w:hAnsi="Calibri"/>
        </w:rPr>
        <w:t>State governance of schools and/or district.</w:t>
      </w:r>
    </w:p>
    <w:p w14:paraId="4C6F2E8E" w14:textId="77777777" w:rsidR="00C7105E" w:rsidRDefault="00C7105E" w:rsidP="00EC50F4">
      <w:pPr>
        <w:rPr>
          <w:rFonts w:ascii="Calibri" w:hAnsi="Calibri"/>
        </w:rPr>
      </w:pPr>
      <w:r>
        <w:rPr>
          <w:rFonts w:ascii="Calibri" w:hAnsi="Calibri"/>
        </w:rPr>
        <w:t>Current State statutes and regulations that support these actions are AS 14.07.020.16, AS 14.07.030.14-15, and 4 AAC 06.864(b).</w:t>
      </w:r>
    </w:p>
    <w:p w14:paraId="73BB2A79" w14:textId="2D326582" w:rsidR="00C7105E" w:rsidRPr="00697AC2" w:rsidRDefault="00C7105E" w:rsidP="00CA096F">
      <w:pPr>
        <w:pStyle w:val="Default"/>
        <w:numPr>
          <w:ilvl w:val="0"/>
          <w:numId w:val="33"/>
        </w:numPr>
        <w:spacing w:after="120"/>
        <w:ind w:left="1440"/>
        <w:rPr>
          <w:rFonts w:ascii="Calibri" w:hAnsi="Calibri"/>
          <w:sz w:val="22"/>
          <w:szCs w:val="22"/>
        </w:rPr>
      </w:pPr>
      <w:r w:rsidRPr="00697AC2">
        <w:rPr>
          <w:rFonts w:ascii="Calibri" w:hAnsi="Calibri"/>
          <w:sz w:val="22"/>
          <w:szCs w:val="22"/>
          <w:u w:val="single"/>
        </w:rPr>
        <w:t>Resource Allocation Review</w:t>
      </w:r>
      <w:r w:rsidRPr="00697AC2">
        <w:rPr>
          <w:rFonts w:ascii="Calibri" w:hAnsi="Calibri"/>
          <w:sz w:val="22"/>
          <w:szCs w:val="22"/>
        </w:rPr>
        <w:t>. Describe how the State will periodically review resource allocation to support school improvement in ea</w:t>
      </w:r>
      <w:r>
        <w:rPr>
          <w:rFonts w:ascii="Calibri" w:hAnsi="Calibri"/>
          <w:sz w:val="22"/>
          <w:szCs w:val="22"/>
        </w:rPr>
        <w:t xml:space="preserve">ch LEA in the State serving a </w:t>
      </w:r>
      <w:r w:rsidRPr="00697AC2">
        <w:rPr>
          <w:rFonts w:ascii="Calibri" w:hAnsi="Calibri"/>
          <w:sz w:val="22"/>
          <w:szCs w:val="22"/>
        </w:rPr>
        <w:t xml:space="preserve">significant number or percentage of schools identified </w:t>
      </w:r>
      <w:r>
        <w:rPr>
          <w:rFonts w:ascii="Calibri" w:hAnsi="Calibri"/>
          <w:sz w:val="22"/>
          <w:szCs w:val="22"/>
        </w:rPr>
        <w:t xml:space="preserve">for comprehensive or targeted </w:t>
      </w:r>
      <w:r>
        <w:rPr>
          <w:rFonts w:ascii="Calibri" w:hAnsi="Calibri"/>
          <w:sz w:val="22"/>
          <w:szCs w:val="22"/>
        </w:rPr>
        <w:tab/>
      </w:r>
      <w:r w:rsidRPr="00697AC2">
        <w:rPr>
          <w:rFonts w:ascii="Calibri" w:hAnsi="Calibri"/>
          <w:sz w:val="22"/>
          <w:szCs w:val="22"/>
        </w:rPr>
        <w:t xml:space="preserve">support and improvement. </w:t>
      </w:r>
    </w:p>
    <w:p w14:paraId="71EC3E1C" w14:textId="77777777" w:rsidR="00C7105E" w:rsidRDefault="00C7105E" w:rsidP="00A6180D">
      <w:pPr>
        <w:rPr>
          <w:rFonts w:ascii="Calibri" w:hAnsi="Calibri"/>
          <w:szCs w:val="24"/>
        </w:rPr>
      </w:pPr>
      <w:r>
        <w:rPr>
          <w:rFonts w:ascii="Calibri" w:hAnsi="Calibri"/>
          <w:szCs w:val="24"/>
        </w:rPr>
        <w:t xml:space="preserve">Alaska will periodically review resource allocation to support school improvement in each district (LEA) in the state serving a significant number or percentage of schools identified for comprehensive (CSI) or targeted support and improvement (TSI). </w:t>
      </w:r>
    </w:p>
    <w:p w14:paraId="1B9BD18A" w14:textId="77777777" w:rsidR="00C7105E" w:rsidRPr="00EF3246" w:rsidRDefault="00C7105E" w:rsidP="00A6180D">
      <w:pPr>
        <w:rPr>
          <w:rFonts w:ascii="Calibri" w:hAnsi="Calibri"/>
          <w:szCs w:val="24"/>
        </w:rPr>
      </w:pPr>
      <w:r w:rsidRPr="00EF3246">
        <w:rPr>
          <w:rFonts w:ascii="Calibri" w:hAnsi="Calibri"/>
          <w:szCs w:val="24"/>
        </w:rPr>
        <w:t>DEED will allocat</w:t>
      </w:r>
      <w:r>
        <w:rPr>
          <w:rFonts w:ascii="Calibri" w:hAnsi="Calibri"/>
          <w:szCs w:val="24"/>
        </w:rPr>
        <w:t>e</w:t>
      </w:r>
      <w:r w:rsidRPr="00EF3246">
        <w:rPr>
          <w:rFonts w:ascii="Calibri" w:hAnsi="Calibri"/>
          <w:szCs w:val="24"/>
        </w:rPr>
        <w:t xml:space="preserve"> 1003(a) funds based on a formula or competitive process </w:t>
      </w:r>
      <w:r>
        <w:rPr>
          <w:rFonts w:ascii="Calibri" w:hAnsi="Calibri"/>
          <w:szCs w:val="24"/>
        </w:rPr>
        <w:t>for</w:t>
      </w:r>
      <w:r w:rsidRPr="00EF3246">
        <w:rPr>
          <w:rFonts w:ascii="Calibri" w:hAnsi="Calibri"/>
          <w:szCs w:val="24"/>
        </w:rPr>
        <w:t xml:space="preserve"> Comprehensive Support and Intervention and Targeted Support and Intervention Support schools.</w:t>
      </w:r>
    </w:p>
    <w:p w14:paraId="11C157AA" w14:textId="77777777" w:rsidR="00C7105E" w:rsidRPr="00EF3246" w:rsidRDefault="00C7105E" w:rsidP="00A6180D">
      <w:pPr>
        <w:rPr>
          <w:rFonts w:ascii="Calibri" w:hAnsi="Calibri"/>
          <w:szCs w:val="24"/>
        </w:rPr>
      </w:pPr>
      <w:r w:rsidRPr="00EF3246">
        <w:rPr>
          <w:rFonts w:ascii="Calibri" w:hAnsi="Calibri"/>
          <w:szCs w:val="24"/>
        </w:rPr>
        <w:t>District and school planning teams collaborate to create school improvement</w:t>
      </w:r>
      <w:r>
        <w:rPr>
          <w:rFonts w:ascii="Calibri" w:hAnsi="Calibri"/>
          <w:szCs w:val="24"/>
        </w:rPr>
        <w:t xml:space="preserve"> plans</w:t>
      </w:r>
      <w:r w:rsidRPr="00EF3246">
        <w:rPr>
          <w:rFonts w:ascii="Calibri" w:hAnsi="Calibri"/>
          <w:szCs w:val="24"/>
        </w:rPr>
        <w:t xml:space="preserve"> based on a comprehensive needs assessment. This collaborative plan includes</w:t>
      </w:r>
      <w:r>
        <w:rPr>
          <w:rFonts w:ascii="Calibri" w:hAnsi="Calibri"/>
          <w:szCs w:val="24"/>
        </w:rPr>
        <w:t>:</w:t>
      </w:r>
    </w:p>
    <w:p w14:paraId="414CCD41" w14:textId="77777777" w:rsidR="00C7105E" w:rsidRPr="00EF3246" w:rsidRDefault="00C7105E" w:rsidP="006641B6">
      <w:pPr>
        <w:pStyle w:val="ListParagraph"/>
        <w:numPr>
          <w:ilvl w:val="0"/>
          <w:numId w:val="52"/>
        </w:numPr>
        <w:rPr>
          <w:rFonts w:ascii="Calibri" w:hAnsi="Calibri"/>
          <w:szCs w:val="24"/>
        </w:rPr>
      </w:pPr>
      <w:r w:rsidRPr="00EF3246">
        <w:rPr>
          <w:rFonts w:ascii="Calibri" w:hAnsi="Calibri"/>
          <w:szCs w:val="24"/>
        </w:rPr>
        <w:t>Interim and long</w:t>
      </w:r>
      <w:r>
        <w:rPr>
          <w:rFonts w:ascii="Calibri" w:hAnsi="Calibri"/>
          <w:szCs w:val="24"/>
        </w:rPr>
        <w:t>-</w:t>
      </w:r>
      <w:r w:rsidRPr="00EF3246">
        <w:rPr>
          <w:rFonts w:ascii="Calibri" w:hAnsi="Calibri"/>
          <w:szCs w:val="24"/>
        </w:rPr>
        <w:t>term goals</w:t>
      </w:r>
    </w:p>
    <w:p w14:paraId="3A6B0ECE" w14:textId="77777777" w:rsidR="00C7105E" w:rsidRPr="00EF3246" w:rsidRDefault="00C7105E" w:rsidP="006641B6">
      <w:pPr>
        <w:pStyle w:val="ListParagraph"/>
        <w:numPr>
          <w:ilvl w:val="0"/>
          <w:numId w:val="52"/>
        </w:numPr>
        <w:rPr>
          <w:rFonts w:ascii="Calibri" w:hAnsi="Calibri"/>
          <w:szCs w:val="24"/>
        </w:rPr>
      </w:pPr>
      <w:r>
        <w:rPr>
          <w:rFonts w:ascii="Calibri" w:hAnsi="Calibri"/>
          <w:szCs w:val="24"/>
        </w:rPr>
        <w:t>Evidence-based t</w:t>
      </w:r>
      <w:r w:rsidRPr="00EF3246">
        <w:rPr>
          <w:rFonts w:ascii="Calibri" w:hAnsi="Calibri"/>
          <w:szCs w:val="24"/>
        </w:rPr>
        <w:t>asks and interventions designed to meet these goals</w:t>
      </w:r>
    </w:p>
    <w:p w14:paraId="3823C6A9" w14:textId="77777777" w:rsidR="00C7105E" w:rsidRPr="00EF3246" w:rsidRDefault="00C7105E" w:rsidP="006641B6">
      <w:pPr>
        <w:pStyle w:val="ListParagraph"/>
        <w:numPr>
          <w:ilvl w:val="0"/>
          <w:numId w:val="52"/>
        </w:numPr>
        <w:rPr>
          <w:rFonts w:ascii="Calibri" w:hAnsi="Calibri"/>
          <w:szCs w:val="24"/>
        </w:rPr>
      </w:pPr>
      <w:r>
        <w:rPr>
          <w:rFonts w:ascii="Calibri" w:hAnsi="Calibri"/>
          <w:szCs w:val="24"/>
        </w:rPr>
        <w:t xml:space="preserve">A </w:t>
      </w:r>
      <w:r w:rsidRPr="00EF3246">
        <w:rPr>
          <w:rFonts w:ascii="Calibri" w:hAnsi="Calibri"/>
          <w:szCs w:val="24"/>
        </w:rPr>
        <w:t>process to assess, monitor</w:t>
      </w:r>
      <w:r>
        <w:rPr>
          <w:rFonts w:ascii="Calibri" w:hAnsi="Calibri"/>
          <w:szCs w:val="24"/>
        </w:rPr>
        <w:t>,</w:t>
      </w:r>
      <w:r w:rsidRPr="00EF3246">
        <w:rPr>
          <w:rFonts w:ascii="Calibri" w:hAnsi="Calibri"/>
          <w:szCs w:val="24"/>
        </w:rPr>
        <w:t xml:space="preserve"> and evaluate progress </w:t>
      </w:r>
      <w:r>
        <w:rPr>
          <w:rFonts w:ascii="Calibri" w:hAnsi="Calibri"/>
          <w:szCs w:val="24"/>
        </w:rPr>
        <w:t>(DEED</w:t>
      </w:r>
      <w:r w:rsidRPr="00EF3246">
        <w:rPr>
          <w:rFonts w:ascii="Calibri" w:hAnsi="Calibri"/>
          <w:szCs w:val="24"/>
        </w:rPr>
        <w:t xml:space="preserve"> provide</w:t>
      </w:r>
      <w:r>
        <w:rPr>
          <w:rFonts w:ascii="Calibri" w:hAnsi="Calibri"/>
          <w:szCs w:val="24"/>
        </w:rPr>
        <w:t>s a</w:t>
      </w:r>
      <w:r w:rsidRPr="00EF3246">
        <w:rPr>
          <w:rFonts w:ascii="Calibri" w:hAnsi="Calibri"/>
          <w:szCs w:val="24"/>
        </w:rPr>
        <w:t xml:space="preserve"> continuous school improvement </w:t>
      </w:r>
      <w:r>
        <w:rPr>
          <w:rFonts w:ascii="Calibri" w:hAnsi="Calibri"/>
          <w:szCs w:val="24"/>
        </w:rPr>
        <w:t xml:space="preserve">online </w:t>
      </w:r>
      <w:r w:rsidRPr="00EF3246">
        <w:rPr>
          <w:rFonts w:ascii="Calibri" w:hAnsi="Calibri"/>
          <w:szCs w:val="24"/>
        </w:rPr>
        <w:t xml:space="preserve">tool that </w:t>
      </w:r>
      <w:r>
        <w:rPr>
          <w:rFonts w:ascii="Calibri" w:hAnsi="Calibri"/>
          <w:szCs w:val="24"/>
        </w:rPr>
        <w:t>satisfies</w:t>
      </w:r>
      <w:r w:rsidRPr="00EF3246">
        <w:rPr>
          <w:rFonts w:ascii="Calibri" w:hAnsi="Calibri"/>
          <w:szCs w:val="24"/>
        </w:rPr>
        <w:t xml:space="preserve"> these criteria)</w:t>
      </w:r>
    </w:p>
    <w:p w14:paraId="4F89025B" w14:textId="77777777" w:rsidR="00C7105E" w:rsidRPr="00EF3246" w:rsidRDefault="00C7105E" w:rsidP="00A6180D">
      <w:pPr>
        <w:rPr>
          <w:rFonts w:ascii="Calibri" w:hAnsi="Calibri"/>
          <w:szCs w:val="24"/>
        </w:rPr>
      </w:pPr>
      <w:r w:rsidRPr="00EF3246">
        <w:rPr>
          <w:rFonts w:ascii="Calibri" w:hAnsi="Calibri"/>
          <w:szCs w:val="24"/>
        </w:rPr>
        <w:t xml:space="preserve">Schools and districts submit a budget </w:t>
      </w:r>
      <w:r>
        <w:rPr>
          <w:rFonts w:ascii="Calibri" w:hAnsi="Calibri"/>
          <w:szCs w:val="24"/>
        </w:rPr>
        <w:t xml:space="preserve">for school improvement funds </w:t>
      </w:r>
      <w:r w:rsidRPr="00EF3246">
        <w:rPr>
          <w:rFonts w:ascii="Calibri" w:hAnsi="Calibri"/>
          <w:szCs w:val="24"/>
        </w:rPr>
        <w:t>that aligns with the goals of the school improvement plan for review by the district and the State. Budgets</w:t>
      </w:r>
      <w:r>
        <w:rPr>
          <w:rFonts w:ascii="Calibri" w:hAnsi="Calibri"/>
          <w:szCs w:val="24"/>
        </w:rPr>
        <w:t xml:space="preserve"> must</w:t>
      </w:r>
      <w:r w:rsidRPr="00EF3246">
        <w:rPr>
          <w:rFonts w:ascii="Calibri" w:hAnsi="Calibri"/>
          <w:szCs w:val="24"/>
        </w:rPr>
        <w:t xml:space="preserve"> include</w:t>
      </w:r>
      <w:r>
        <w:rPr>
          <w:rFonts w:ascii="Calibri" w:hAnsi="Calibri"/>
          <w:szCs w:val="24"/>
        </w:rPr>
        <w:t>:</w:t>
      </w:r>
    </w:p>
    <w:p w14:paraId="562C4967" w14:textId="77777777" w:rsidR="00C7105E" w:rsidRPr="00EF3246" w:rsidRDefault="00C7105E" w:rsidP="006641B6">
      <w:pPr>
        <w:pStyle w:val="ListParagraph"/>
        <w:numPr>
          <w:ilvl w:val="0"/>
          <w:numId w:val="53"/>
        </w:numPr>
        <w:rPr>
          <w:rFonts w:ascii="Calibri" w:hAnsi="Calibri"/>
          <w:szCs w:val="24"/>
        </w:rPr>
      </w:pPr>
      <w:r>
        <w:rPr>
          <w:rFonts w:ascii="Calibri" w:hAnsi="Calibri"/>
          <w:szCs w:val="24"/>
        </w:rPr>
        <w:t xml:space="preserve">Cohesive </w:t>
      </w:r>
      <w:r w:rsidRPr="00EF3246">
        <w:rPr>
          <w:rFonts w:ascii="Calibri" w:hAnsi="Calibri"/>
          <w:szCs w:val="24"/>
        </w:rPr>
        <w:t>professional development opportunities</w:t>
      </w:r>
      <w:r>
        <w:rPr>
          <w:rFonts w:ascii="Calibri" w:hAnsi="Calibri"/>
          <w:szCs w:val="24"/>
        </w:rPr>
        <w:t xml:space="preserve"> </w:t>
      </w:r>
    </w:p>
    <w:p w14:paraId="7C08E748" w14:textId="77777777" w:rsidR="00C7105E" w:rsidRPr="00EF3246" w:rsidRDefault="00C7105E" w:rsidP="006641B6">
      <w:pPr>
        <w:pStyle w:val="ListParagraph"/>
        <w:numPr>
          <w:ilvl w:val="0"/>
          <w:numId w:val="53"/>
        </w:numPr>
        <w:rPr>
          <w:rFonts w:ascii="Calibri" w:hAnsi="Calibri"/>
          <w:szCs w:val="24"/>
        </w:rPr>
      </w:pPr>
      <w:r>
        <w:rPr>
          <w:rFonts w:ascii="Calibri" w:hAnsi="Calibri"/>
          <w:szCs w:val="24"/>
        </w:rPr>
        <w:t>I</w:t>
      </w:r>
      <w:r w:rsidRPr="00EF3246">
        <w:rPr>
          <w:rFonts w:ascii="Calibri" w:hAnsi="Calibri"/>
          <w:szCs w:val="24"/>
        </w:rPr>
        <w:t>nterventions</w:t>
      </w:r>
      <w:r>
        <w:rPr>
          <w:rFonts w:ascii="Calibri" w:hAnsi="Calibri"/>
          <w:szCs w:val="24"/>
        </w:rPr>
        <w:t xml:space="preserve"> for instructional improvement</w:t>
      </w:r>
    </w:p>
    <w:p w14:paraId="7C9DA073" w14:textId="77777777" w:rsidR="00C7105E" w:rsidRPr="00EF3246" w:rsidRDefault="00C7105E" w:rsidP="00A6180D">
      <w:pPr>
        <w:rPr>
          <w:rFonts w:ascii="Calibri" w:hAnsi="Calibri"/>
          <w:szCs w:val="24"/>
        </w:rPr>
      </w:pPr>
      <w:r w:rsidRPr="00EF3246">
        <w:rPr>
          <w:rFonts w:ascii="Calibri" w:hAnsi="Calibri"/>
          <w:szCs w:val="24"/>
        </w:rPr>
        <w:t xml:space="preserve">DEED reviews the school improvement plans </w:t>
      </w:r>
      <w:r>
        <w:rPr>
          <w:rFonts w:ascii="Calibri" w:hAnsi="Calibri"/>
          <w:szCs w:val="24"/>
        </w:rPr>
        <w:t xml:space="preserve">and budgets </w:t>
      </w:r>
      <w:r w:rsidRPr="00EF3246">
        <w:rPr>
          <w:rFonts w:ascii="Calibri" w:hAnsi="Calibri"/>
          <w:szCs w:val="24"/>
        </w:rPr>
        <w:t>annually. School improvement plans and documents will also be reviewed in scheduled monitoring visits.</w:t>
      </w:r>
    </w:p>
    <w:p w14:paraId="097376B1" w14:textId="77777777" w:rsidR="00C7105E" w:rsidRPr="00EF3246" w:rsidRDefault="00C7105E" w:rsidP="00A6180D">
      <w:pPr>
        <w:rPr>
          <w:rFonts w:ascii="Calibri" w:hAnsi="Calibri"/>
          <w:szCs w:val="24"/>
        </w:rPr>
      </w:pPr>
      <w:r w:rsidRPr="00EF3246">
        <w:rPr>
          <w:rFonts w:ascii="Calibri" w:hAnsi="Calibri"/>
          <w:szCs w:val="24"/>
        </w:rPr>
        <w:t>End</w:t>
      </w:r>
      <w:r>
        <w:rPr>
          <w:rFonts w:ascii="Calibri" w:hAnsi="Calibri"/>
          <w:szCs w:val="24"/>
        </w:rPr>
        <w:t>-</w:t>
      </w:r>
      <w:r w:rsidRPr="00EF3246">
        <w:rPr>
          <w:rFonts w:ascii="Calibri" w:hAnsi="Calibri"/>
          <w:szCs w:val="24"/>
        </w:rPr>
        <w:t>of</w:t>
      </w:r>
      <w:r>
        <w:rPr>
          <w:rFonts w:ascii="Calibri" w:hAnsi="Calibri"/>
          <w:szCs w:val="24"/>
        </w:rPr>
        <w:t>-</w:t>
      </w:r>
      <w:r w:rsidRPr="00EF3246">
        <w:rPr>
          <w:rFonts w:ascii="Calibri" w:hAnsi="Calibri"/>
          <w:szCs w:val="24"/>
        </w:rPr>
        <w:t xml:space="preserve">year evaluations of programs reviewed by district for effectiveness and shared with </w:t>
      </w:r>
      <w:r>
        <w:rPr>
          <w:rFonts w:ascii="Calibri" w:hAnsi="Calibri"/>
          <w:szCs w:val="24"/>
        </w:rPr>
        <w:t>DEED</w:t>
      </w:r>
      <w:r w:rsidRPr="00EF3246">
        <w:rPr>
          <w:rFonts w:ascii="Calibri" w:hAnsi="Calibri"/>
          <w:szCs w:val="24"/>
        </w:rPr>
        <w:t>.</w:t>
      </w:r>
    </w:p>
    <w:p w14:paraId="7F8914BF" w14:textId="77777777" w:rsidR="00C7105E" w:rsidRPr="00D87AEB" w:rsidRDefault="00C7105E" w:rsidP="00A85E5A">
      <w:pPr>
        <w:tabs>
          <w:tab w:val="left" w:pos="1035"/>
        </w:tabs>
        <w:rPr>
          <w:rFonts w:ascii="Calibri" w:hAnsi="Calibri"/>
          <w:szCs w:val="24"/>
        </w:rPr>
      </w:pPr>
      <w:r w:rsidRPr="00EF3246">
        <w:rPr>
          <w:rFonts w:ascii="Calibri" w:hAnsi="Calibri"/>
          <w:szCs w:val="24"/>
        </w:rPr>
        <w:t xml:space="preserve">For </w:t>
      </w:r>
      <w:r>
        <w:rPr>
          <w:rFonts w:ascii="Calibri" w:hAnsi="Calibri"/>
          <w:szCs w:val="24"/>
        </w:rPr>
        <w:t xml:space="preserve">districts serving a significant number or percentage of CSI or TSI </w:t>
      </w:r>
      <w:r w:rsidRPr="00EF3246">
        <w:rPr>
          <w:rFonts w:ascii="Calibri" w:hAnsi="Calibri"/>
          <w:szCs w:val="24"/>
        </w:rPr>
        <w:t>schools failing to make progress</w:t>
      </w:r>
      <w:r>
        <w:rPr>
          <w:rFonts w:ascii="Calibri" w:hAnsi="Calibri"/>
          <w:szCs w:val="24"/>
        </w:rPr>
        <w:t>,</w:t>
      </w:r>
      <w:r w:rsidRPr="00EF3246">
        <w:rPr>
          <w:rFonts w:ascii="Calibri" w:hAnsi="Calibri"/>
          <w:szCs w:val="24"/>
        </w:rPr>
        <w:t xml:space="preserve"> an inter-departmental review will be conducted as needed on an annual basis to ensure alignment of diverse resources.</w:t>
      </w:r>
      <w:r>
        <w:rPr>
          <w:rFonts w:ascii="Calibri" w:hAnsi="Calibri"/>
          <w:szCs w:val="24"/>
        </w:rPr>
        <w:t xml:space="preserve"> </w:t>
      </w:r>
      <w:r w:rsidRPr="00D87AEB">
        <w:rPr>
          <w:rFonts w:ascii="Calibri" w:hAnsi="Calibri"/>
          <w:szCs w:val="24"/>
        </w:rPr>
        <w:t>This review will include funds beyond federal school improvement funds such as other federal funds, state provided general funds, and grant funding.  This comprehensive review of the district’s</w:t>
      </w:r>
      <w:r>
        <w:rPr>
          <w:rFonts w:ascii="Calibri" w:hAnsi="Calibri"/>
          <w:szCs w:val="24"/>
        </w:rPr>
        <w:t xml:space="preserve"> and schools’</w:t>
      </w:r>
      <w:r w:rsidRPr="00D87AEB">
        <w:rPr>
          <w:rFonts w:ascii="Calibri" w:hAnsi="Calibri"/>
          <w:szCs w:val="24"/>
        </w:rPr>
        <w:t xml:space="preserve"> budget</w:t>
      </w:r>
      <w:r>
        <w:rPr>
          <w:rFonts w:ascii="Calibri" w:hAnsi="Calibri"/>
          <w:szCs w:val="24"/>
        </w:rPr>
        <w:t>s</w:t>
      </w:r>
      <w:r w:rsidRPr="00D87AEB">
        <w:rPr>
          <w:rFonts w:ascii="Calibri" w:hAnsi="Calibri"/>
          <w:szCs w:val="24"/>
        </w:rPr>
        <w:t xml:space="preserve"> will be made available for public feedback. </w:t>
      </w:r>
    </w:p>
    <w:p w14:paraId="6663EA81" w14:textId="77777777" w:rsidR="00C7105E" w:rsidRPr="00697AC2" w:rsidRDefault="00C7105E" w:rsidP="00CA096F">
      <w:pPr>
        <w:pStyle w:val="Default"/>
        <w:numPr>
          <w:ilvl w:val="0"/>
          <w:numId w:val="62"/>
        </w:numPr>
        <w:spacing w:after="120"/>
        <w:ind w:left="1440"/>
        <w:rPr>
          <w:rFonts w:ascii="Calibri" w:hAnsi="Calibri"/>
          <w:sz w:val="22"/>
          <w:szCs w:val="22"/>
        </w:rPr>
      </w:pPr>
      <w:r>
        <w:rPr>
          <w:rFonts w:ascii="Calibri" w:hAnsi="Calibri"/>
          <w:sz w:val="22"/>
          <w:szCs w:val="22"/>
          <w:u w:val="single"/>
        </w:rPr>
        <w:t>T</w:t>
      </w:r>
      <w:r w:rsidRPr="00697AC2">
        <w:rPr>
          <w:rFonts w:ascii="Calibri" w:hAnsi="Calibri"/>
          <w:sz w:val="22"/>
          <w:szCs w:val="22"/>
          <w:u w:val="single"/>
        </w:rPr>
        <w:t>echnical Assistance</w:t>
      </w:r>
      <w:r w:rsidRPr="00697AC2">
        <w:rPr>
          <w:rFonts w:ascii="Calibri" w:hAnsi="Calibri"/>
          <w:sz w:val="22"/>
          <w:szCs w:val="22"/>
        </w:rPr>
        <w:t>. Describe the technical assista</w:t>
      </w:r>
      <w:r>
        <w:rPr>
          <w:rFonts w:ascii="Calibri" w:hAnsi="Calibri"/>
          <w:sz w:val="22"/>
          <w:szCs w:val="22"/>
        </w:rPr>
        <w:t xml:space="preserve">nce the State will provide to </w:t>
      </w:r>
      <w:r w:rsidRPr="00697AC2">
        <w:rPr>
          <w:rFonts w:ascii="Calibri" w:hAnsi="Calibri"/>
          <w:sz w:val="22"/>
          <w:szCs w:val="22"/>
        </w:rPr>
        <w:t>each LEA in the State serving a significant number or per</w:t>
      </w:r>
      <w:r>
        <w:rPr>
          <w:rFonts w:ascii="Calibri" w:hAnsi="Calibri"/>
          <w:sz w:val="22"/>
          <w:szCs w:val="22"/>
        </w:rPr>
        <w:t xml:space="preserve">centage of schools identified </w:t>
      </w:r>
      <w:r w:rsidRPr="00697AC2">
        <w:rPr>
          <w:rFonts w:ascii="Calibri" w:hAnsi="Calibri"/>
          <w:sz w:val="22"/>
          <w:szCs w:val="22"/>
        </w:rPr>
        <w:t xml:space="preserve">for comprehensive or targeted support and improvement. </w:t>
      </w:r>
    </w:p>
    <w:p w14:paraId="7D11C1D7" w14:textId="77777777" w:rsidR="00C7105E" w:rsidRDefault="00C7105E" w:rsidP="00CA096F">
      <w:r>
        <w:lastRenderedPageBreak/>
        <w:t>DEED will provide technical assistance to all districts and to each district (LEA) in the State that serves a significant number or percentage of schools identified for comprehensive or targeted support and improvement through a tiered system of support.</w:t>
      </w:r>
    </w:p>
    <w:p w14:paraId="0BC08A9C" w14:textId="6DC42DCF" w:rsidR="00C7105E" w:rsidRPr="00422082" w:rsidRDefault="00C7105E" w:rsidP="00A6180D">
      <w:pPr>
        <w:rPr>
          <w:rFonts w:ascii="Calibri" w:hAnsi="Calibri"/>
          <w:szCs w:val="24"/>
        </w:rPr>
      </w:pPr>
      <w:r w:rsidRPr="00422082">
        <w:rPr>
          <w:rFonts w:ascii="Calibri" w:hAnsi="Calibri"/>
          <w:szCs w:val="24"/>
        </w:rPr>
        <w:t>The main strategic goal of DEED is to provide support to districts to amplify student achievement</w:t>
      </w:r>
      <w:r>
        <w:rPr>
          <w:rFonts w:ascii="Calibri" w:hAnsi="Calibri"/>
          <w:szCs w:val="24"/>
        </w:rPr>
        <w:t xml:space="preserve"> by providing assistance to increase district capacity in desired attributes</w:t>
      </w:r>
      <w:r w:rsidRPr="00422082">
        <w:rPr>
          <w:rFonts w:ascii="Calibri" w:hAnsi="Calibri"/>
          <w:szCs w:val="24"/>
        </w:rPr>
        <w:t>. All training and professional development provided to districts, schools</w:t>
      </w:r>
      <w:r>
        <w:rPr>
          <w:rFonts w:ascii="Calibri" w:hAnsi="Calibri"/>
          <w:szCs w:val="24"/>
        </w:rPr>
        <w:t>,</w:t>
      </w:r>
      <w:r w:rsidRPr="00422082">
        <w:rPr>
          <w:rFonts w:ascii="Calibri" w:hAnsi="Calibri"/>
          <w:szCs w:val="24"/>
        </w:rPr>
        <w:t xml:space="preserve"> and teachers </w:t>
      </w:r>
      <w:r>
        <w:rPr>
          <w:rFonts w:ascii="Calibri" w:hAnsi="Calibri"/>
          <w:szCs w:val="24"/>
        </w:rPr>
        <w:t>supports the commitment DEED has made to Alaska’s students.</w:t>
      </w:r>
      <w:r>
        <w:rPr>
          <w:rFonts w:ascii="Calibri" w:hAnsi="Calibri"/>
          <w:noProof/>
          <w:szCs w:val="24"/>
        </w:rPr>
        <w:drawing>
          <wp:inline distT="0" distB="0" distL="0" distR="0" wp14:anchorId="4EB4B350" wp14:editId="089CDE05">
            <wp:extent cx="5791200" cy="3848100"/>
            <wp:effectExtent l="19050" t="0" r="0" b="19050"/>
            <wp:docPr id="17" name="Diagram 17" descr="If Alaska - amplifies student learning, inspires community and tribal  ownership of educational excellence, modernizes the education system, ensures excellent educatorsand promotes safety and well-being.  Then districts will, be empowered to serve all students by ensuring effective leadership, recruiting and retaining effective teachers. training and supporting teachers in effective instructional practices.  Then schools will have the capacity to provide an excellent education for every student every day: What do we want out students to know and do? How will we teach them? How will we know if they learned it? What will we do if do not learn it? What will we do if they already know it? Student outcomes - all students can: succeed in their education and work, shape worthwhile and satisfying lives for themselves, exemplify the best values of society, be effective in improving the character and quality of the world about them.&#10;&#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492328C" w14:textId="77777777" w:rsidR="00C7105E" w:rsidRDefault="00C7105E" w:rsidP="00CC6F9C">
      <w:pPr>
        <w:contextualSpacing/>
        <w:rPr>
          <w:rFonts w:ascii="Calibri" w:hAnsi="Calibri"/>
          <w:szCs w:val="24"/>
        </w:rPr>
      </w:pPr>
      <w:r>
        <w:rPr>
          <w:rFonts w:ascii="Calibri" w:hAnsi="Calibri"/>
          <w:szCs w:val="24"/>
        </w:rPr>
        <w:t xml:space="preserve">DEED will deploy resources to help districts lead for success by providing: </w:t>
      </w:r>
    </w:p>
    <w:p w14:paraId="27AA27B0" w14:textId="77777777" w:rsidR="00C7105E" w:rsidRDefault="00C7105E" w:rsidP="006641B6">
      <w:pPr>
        <w:pStyle w:val="ListParagraph"/>
        <w:numPr>
          <w:ilvl w:val="0"/>
          <w:numId w:val="60"/>
        </w:numPr>
        <w:rPr>
          <w:rFonts w:ascii="Calibri" w:hAnsi="Calibri"/>
          <w:szCs w:val="24"/>
        </w:rPr>
      </w:pPr>
      <w:r w:rsidRPr="00C866D6">
        <w:rPr>
          <w:rFonts w:ascii="Calibri" w:hAnsi="Calibri"/>
          <w:szCs w:val="24"/>
        </w:rPr>
        <w:t>Technical assistance for district</w:t>
      </w:r>
      <w:r>
        <w:rPr>
          <w:rFonts w:ascii="Calibri" w:hAnsi="Calibri"/>
          <w:szCs w:val="24"/>
        </w:rPr>
        <w:t xml:space="preserve"> and</w:t>
      </w:r>
      <w:r w:rsidRPr="00C866D6">
        <w:rPr>
          <w:rFonts w:ascii="Calibri" w:hAnsi="Calibri"/>
          <w:szCs w:val="24"/>
        </w:rPr>
        <w:t xml:space="preserve"> schools</w:t>
      </w:r>
      <w:r>
        <w:rPr>
          <w:rFonts w:ascii="Calibri" w:hAnsi="Calibri"/>
          <w:szCs w:val="24"/>
        </w:rPr>
        <w:t xml:space="preserve"> staff, regional school boards, and parents</w:t>
      </w:r>
    </w:p>
    <w:p w14:paraId="45C1441C" w14:textId="77777777" w:rsidR="00C7105E" w:rsidRDefault="00C7105E" w:rsidP="006641B6">
      <w:pPr>
        <w:pStyle w:val="ListParagraph"/>
        <w:numPr>
          <w:ilvl w:val="0"/>
          <w:numId w:val="60"/>
        </w:numPr>
        <w:rPr>
          <w:rFonts w:ascii="Calibri" w:hAnsi="Calibri"/>
          <w:szCs w:val="24"/>
        </w:rPr>
      </w:pPr>
      <w:r w:rsidRPr="007D451B">
        <w:rPr>
          <w:rFonts w:ascii="Calibri" w:hAnsi="Calibri"/>
          <w:szCs w:val="24"/>
        </w:rPr>
        <w:t>S</w:t>
      </w:r>
      <w:r w:rsidRPr="00C866D6">
        <w:rPr>
          <w:rFonts w:ascii="Calibri" w:hAnsi="Calibri"/>
          <w:szCs w:val="24"/>
        </w:rPr>
        <w:t>upport</w:t>
      </w:r>
      <w:r>
        <w:rPr>
          <w:rFonts w:ascii="Calibri" w:hAnsi="Calibri"/>
          <w:szCs w:val="24"/>
        </w:rPr>
        <w:t xml:space="preserve"> </w:t>
      </w:r>
      <w:r w:rsidRPr="00C866D6">
        <w:rPr>
          <w:rFonts w:ascii="Calibri" w:hAnsi="Calibri"/>
          <w:szCs w:val="24"/>
        </w:rPr>
        <w:t>with the alignment of resour</w:t>
      </w:r>
      <w:r>
        <w:rPr>
          <w:rFonts w:ascii="Calibri" w:hAnsi="Calibri"/>
          <w:szCs w:val="24"/>
        </w:rPr>
        <w:t>ces</w:t>
      </w:r>
    </w:p>
    <w:p w14:paraId="225EB05A" w14:textId="77777777" w:rsidR="00C7105E" w:rsidRDefault="00C7105E" w:rsidP="006641B6">
      <w:pPr>
        <w:pStyle w:val="ListParagraph"/>
        <w:numPr>
          <w:ilvl w:val="0"/>
          <w:numId w:val="60"/>
        </w:numPr>
        <w:rPr>
          <w:rFonts w:ascii="Calibri" w:hAnsi="Calibri"/>
          <w:szCs w:val="24"/>
        </w:rPr>
      </w:pPr>
      <w:r>
        <w:rPr>
          <w:rFonts w:ascii="Calibri" w:hAnsi="Calibri"/>
          <w:szCs w:val="24"/>
        </w:rPr>
        <w:t>Support in identifying resources and needs of early learners ages three to five</w:t>
      </w:r>
    </w:p>
    <w:p w14:paraId="25A03FCB" w14:textId="77777777" w:rsidR="00C7105E" w:rsidRDefault="00C7105E" w:rsidP="006641B6">
      <w:pPr>
        <w:pStyle w:val="ListParagraph"/>
        <w:numPr>
          <w:ilvl w:val="0"/>
          <w:numId w:val="60"/>
        </w:numPr>
        <w:rPr>
          <w:rFonts w:ascii="Calibri" w:hAnsi="Calibri"/>
          <w:szCs w:val="24"/>
        </w:rPr>
      </w:pPr>
      <w:r>
        <w:rPr>
          <w:rFonts w:ascii="Calibri" w:hAnsi="Calibri"/>
          <w:szCs w:val="24"/>
        </w:rPr>
        <w:t>I</w:t>
      </w:r>
      <w:r w:rsidRPr="00C866D6">
        <w:rPr>
          <w:rFonts w:ascii="Calibri" w:hAnsi="Calibri"/>
          <w:szCs w:val="24"/>
        </w:rPr>
        <w:t>nvest</w:t>
      </w:r>
      <w:r>
        <w:rPr>
          <w:rFonts w:ascii="Calibri" w:hAnsi="Calibri"/>
          <w:szCs w:val="24"/>
        </w:rPr>
        <w:t>ment</w:t>
      </w:r>
      <w:r w:rsidRPr="00C866D6">
        <w:rPr>
          <w:rFonts w:ascii="Calibri" w:hAnsi="Calibri"/>
          <w:szCs w:val="24"/>
        </w:rPr>
        <w:t xml:space="preserve"> in change that is sustainable</w:t>
      </w:r>
    </w:p>
    <w:p w14:paraId="0FBC1315" w14:textId="77777777" w:rsidR="00C7105E" w:rsidRDefault="00C7105E" w:rsidP="006641B6">
      <w:pPr>
        <w:pStyle w:val="ListParagraph"/>
        <w:numPr>
          <w:ilvl w:val="0"/>
          <w:numId w:val="60"/>
        </w:numPr>
        <w:rPr>
          <w:rFonts w:ascii="Calibri" w:hAnsi="Calibri"/>
          <w:szCs w:val="24"/>
        </w:rPr>
      </w:pPr>
      <w:r w:rsidRPr="007D451B">
        <w:rPr>
          <w:rFonts w:ascii="Calibri" w:hAnsi="Calibri"/>
          <w:szCs w:val="24"/>
        </w:rPr>
        <w:t>Clear</w:t>
      </w:r>
      <w:r w:rsidRPr="00C866D6">
        <w:rPr>
          <w:rFonts w:ascii="Calibri" w:hAnsi="Calibri"/>
          <w:szCs w:val="24"/>
        </w:rPr>
        <w:t xml:space="preserve"> communicat</w:t>
      </w:r>
      <w:r>
        <w:rPr>
          <w:rFonts w:ascii="Calibri" w:hAnsi="Calibri"/>
          <w:szCs w:val="24"/>
        </w:rPr>
        <w:t>ion</w:t>
      </w:r>
      <w:r w:rsidRPr="00C866D6">
        <w:rPr>
          <w:rFonts w:ascii="Calibri" w:hAnsi="Calibri"/>
          <w:szCs w:val="24"/>
        </w:rPr>
        <w:t xml:space="preserve"> that change is not only necessary but attainable</w:t>
      </w:r>
    </w:p>
    <w:p w14:paraId="3D34D948" w14:textId="77777777" w:rsidR="00C7105E" w:rsidRPr="00A85E5A" w:rsidRDefault="00C7105E" w:rsidP="006641B6">
      <w:pPr>
        <w:pStyle w:val="ListParagraph"/>
        <w:numPr>
          <w:ilvl w:val="0"/>
          <w:numId w:val="60"/>
        </w:numPr>
        <w:rPr>
          <w:rFonts w:ascii="Calibri" w:hAnsi="Calibri"/>
          <w:szCs w:val="24"/>
        </w:rPr>
      </w:pPr>
      <w:r>
        <w:rPr>
          <w:rFonts w:ascii="Calibri" w:hAnsi="Calibri"/>
          <w:szCs w:val="24"/>
        </w:rPr>
        <w:t>Facilitation of collaboration with key associations and community groups</w:t>
      </w:r>
    </w:p>
    <w:p w14:paraId="6DA34C55" w14:textId="77777777" w:rsidR="00C7105E" w:rsidRDefault="00C7105E" w:rsidP="00CC6F9C">
      <w:pPr>
        <w:rPr>
          <w:rFonts w:ascii="Calibri" w:hAnsi="Calibri"/>
          <w:szCs w:val="24"/>
        </w:rPr>
      </w:pPr>
      <w:r>
        <w:rPr>
          <w:rFonts w:ascii="Calibri" w:hAnsi="Calibri"/>
          <w:szCs w:val="24"/>
        </w:rPr>
        <w:t>Desired attributes of districts</w:t>
      </w:r>
    </w:p>
    <w:p w14:paraId="2CB45842" w14:textId="77777777" w:rsidR="00C7105E" w:rsidRDefault="00C7105E" w:rsidP="006641B6">
      <w:pPr>
        <w:pStyle w:val="ListParagraph"/>
        <w:numPr>
          <w:ilvl w:val="0"/>
          <w:numId w:val="61"/>
        </w:numPr>
        <w:rPr>
          <w:rFonts w:ascii="Calibri" w:hAnsi="Calibri"/>
          <w:szCs w:val="24"/>
        </w:rPr>
      </w:pPr>
      <w:r w:rsidRPr="00C866D6">
        <w:rPr>
          <w:rFonts w:ascii="Calibri" w:hAnsi="Calibri"/>
          <w:szCs w:val="24"/>
        </w:rPr>
        <w:t>prioritize</w:t>
      </w:r>
      <w:r>
        <w:rPr>
          <w:rFonts w:ascii="Calibri" w:hAnsi="Calibri"/>
          <w:szCs w:val="24"/>
        </w:rPr>
        <w:t xml:space="preserve"> low performing schools</w:t>
      </w:r>
      <w:r w:rsidRPr="00C866D6">
        <w:rPr>
          <w:rFonts w:ascii="Calibri" w:hAnsi="Calibri"/>
          <w:szCs w:val="24"/>
        </w:rPr>
        <w:t xml:space="preserve"> </w:t>
      </w:r>
    </w:p>
    <w:p w14:paraId="1DAAADBA" w14:textId="77777777" w:rsidR="00C7105E" w:rsidRDefault="00C7105E" w:rsidP="006641B6">
      <w:pPr>
        <w:pStyle w:val="ListParagraph"/>
        <w:numPr>
          <w:ilvl w:val="0"/>
          <w:numId w:val="61"/>
        </w:numPr>
        <w:rPr>
          <w:rFonts w:ascii="Calibri" w:hAnsi="Calibri"/>
          <w:szCs w:val="24"/>
        </w:rPr>
      </w:pPr>
      <w:r w:rsidRPr="00C866D6">
        <w:rPr>
          <w:rFonts w:ascii="Calibri" w:hAnsi="Calibri"/>
          <w:szCs w:val="24"/>
        </w:rPr>
        <w:t>provide differentiated support aligned with the unique needs of the students</w:t>
      </w:r>
    </w:p>
    <w:p w14:paraId="37D77291" w14:textId="77777777" w:rsidR="00C7105E" w:rsidRDefault="00C7105E" w:rsidP="006641B6">
      <w:pPr>
        <w:pStyle w:val="ListParagraph"/>
        <w:numPr>
          <w:ilvl w:val="0"/>
          <w:numId w:val="61"/>
        </w:numPr>
        <w:rPr>
          <w:rFonts w:ascii="Calibri" w:hAnsi="Calibri"/>
          <w:szCs w:val="24"/>
        </w:rPr>
      </w:pPr>
      <w:r>
        <w:rPr>
          <w:rFonts w:ascii="Calibri" w:hAnsi="Calibri"/>
          <w:szCs w:val="24"/>
        </w:rPr>
        <w:t xml:space="preserve">identify and rectify </w:t>
      </w:r>
      <w:r w:rsidRPr="00C866D6">
        <w:rPr>
          <w:rFonts w:ascii="Calibri" w:hAnsi="Calibri"/>
          <w:szCs w:val="24"/>
        </w:rPr>
        <w:t>resource inequities</w:t>
      </w:r>
    </w:p>
    <w:p w14:paraId="5F52EEC7" w14:textId="77777777" w:rsidR="00C7105E" w:rsidRDefault="00C7105E" w:rsidP="006641B6">
      <w:pPr>
        <w:pStyle w:val="ListParagraph"/>
        <w:numPr>
          <w:ilvl w:val="0"/>
          <w:numId w:val="61"/>
        </w:numPr>
        <w:rPr>
          <w:rFonts w:ascii="Calibri" w:hAnsi="Calibri"/>
          <w:szCs w:val="24"/>
        </w:rPr>
      </w:pPr>
      <w:r w:rsidRPr="00C866D6">
        <w:rPr>
          <w:rFonts w:ascii="Calibri" w:hAnsi="Calibri"/>
          <w:szCs w:val="24"/>
        </w:rPr>
        <w:t xml:space="preserve">create an instructional infrastructure that utilizes data to drive decisions </w:t>
      </w:r>
    </w:p>
    <w:p w14:paraId="0B9F3AC9" w14:textId="77777777" w:rsidR="00C7105E" w:rsidRDefault="00C7105E" w:rsidP="006641B6">
      <w:pPr>
        <w:pStyle w:val="ListParagraph"/>
        <w:numPr>
          <w:ilvl w:val="0"/>
          <w:numId w:val="61"/>
        </w:numPr>
        <w:rPr>
          <w:rFonts w:ascii="Calibri" w:hAnsi="Calibri"/>
          <w:szCs w:val="24"/>
        </w:rPr>
      </w:pPr>
      <w:r>
        <w:rPr>
          <w:rFonts w:ascii="Calibri" w:hAnsi="Calibri"/>
          <w:szCs w:val="24"/>
        </w:rPr>
        <w:t>have</w:t>
      </w:r>
      <w:r w:rsidRPr="00C866D6">
        <w:rPr>
          <w:rFonts w:ascii="Calibri" w:hAnsi="Calibri"/>
          <w:szCs w:val="24"/>
        </w:rPr>
        <w:t xml:space="preserve"> the capacity to adapt instruction to match the identified </w:t>
      </w:r>
      <w:r>
        <w:rPr>
          <w:rFonts w:ascii="Calibri" w:hAnsi="Calibri"/>
          <w:szCs w:val="24"/>
        </w:rPr>
        <w:t>needs</w:t>
      </w:r>
    </w:p>
    <w:p w14:paraId="769EF979" w14:textId="77777777" w:rsidR="00C7105E" w:rsidRDefault="00C7105E" w:rsidP="006641B6">
      <w:pPr>
        <w:pStyle w:val="ListParagraph"/>
        <w:numPr>
          <w:ilvl w:val="0"/>
          <w:numId w:val="61"/>
        </w:numPr>
        <w:rPr>
          <w:rFonts w:ascii="Calibri" w:hAnsi="Calibri"/>
          <w:szCs w:val="24"/>
        </w:rPr>
      </w:pPr>
      <w:r>
        <w:rPr>
          <w:rFonts w:ascii="Calibri" w:hAnsi="Calibri"/>
          <w:szCs w:val="24"/>
        </w:rPr>
        <w:lastRenderedPageBreak/>
        <w:t>practice an attitude of cooperation by regular communication with stakeholders and facilitate access to documents, parents, and staff</w:t>
      </w:r>
    </w:p>
    <w:p w14:paraId="4BD58999" w14:textId="77777777" w:rsidR="00C7105E" w:rsidRPr="00F416C1" w:rsidRDefault="00C7105E" w:rsidP="00F416C1">
      <w:pPr>
        <w:rPr>
          <w:rFonts w:ascii="Calibri" w:hAnsi="Calibri"/>
          <w:szCs w:val="24"/>
        </w:rPr>
      </w:pPr>
      <w:r w:rsidRPr="00F416C1">
        <w:rPr>
          <w:rFonts w:ascii="Calibri" w:hAnsi="Calibri"/>
          <w:szCs w:val="24"/>
        </w:rPr>
        <w:t xml:space="preserve">School improvement processes and support are built on the foundation of the </w:t>
      </w:r>
      <w:r w:rsidRPr="00F416C1">
        <w:rPr>
          <w:rFonts w:ascii="Calibri" w:hAnsi="Calibri"/>
          <w:i/>
          <w:szCs w:val="24"/>
        </w:rPr>
        <w:t>Alaska Effective Schools Framework</w:t>
      </w:r>
      <w:r w:rsidRPr="00F416C1">
        <w:rPr>
          <w:rFonts w:ascii="Calibri" w:hAnsi="Calibri"/>
          <w:szCs w:val="24"/>
        </w:rPr>
        <w:t xml:space="preserve"> which reinforces an evidence-based instructional focus through emphasis on and support of the following 12 key indicators:</w:t>
      </w:r>
    </w:p>
    <w:p w14:paraId="5A0C891F"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 xml:space="preserve">School staff implements the district approved, research based curricula that are aligned with Alaska Content Standards. </w:t>
      </w:r>
    </w:p>
    <w:p w14:paraId="2DF56299"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use universal screening assessments and routinely administer them multiple times a year in at least literacy and math.</w:t>
      </w:r>
    </w:p>
    <w:p w14:paraId="39D4567B"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implement a coherent, documented plan throughout the school to ensure that all students receive core instruction and all low-performing students receive additional support to help them meet or exceed the state content standards.</w:t>
      </w:r>
    </w:p>
    <w:p w14:paraId="220690CA"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use research-based instructional practices, programs and materials.</w:t>
      </w:r>
    </w:p>
    <w:p w14:paraId="70ED62A2"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consistently, and regularly measure the effectiveness of instruction using data from a variety of formative assessments.</w:t>
      </w:r>
    </w:p>
    <w:p w14:paraId="5DEDC51B"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 xml:space="preserve">School staff communicate school-wide behavior expectations that are understood and achieved by students, and staff provide positive behavioral supports. </w:t>
      </w:r>
    </w:p>
    <w:p w14:paraId="05AF7826"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provide extended learning opportunities, and students in need of additional support regularly participate.</w:t>
      </w:r>
    </w:p>
    <w:p w14:paraId="37A10D64"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and classroom environments reflect respect for all students and cultures, and they reflect an understanding of the cultural values of the students and community.</w:t>
      </w:r>
    </w:p>
    <w:p w14:paraId="388B8906"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 xml:space="preserve">School staff communicate effectively with parents about learning expectations, student progress, and reinforcing learning at home; staff implement effective strategies to increase parent engagement. </w:t>
      </w:r>
    </w:p>
    <w:p w14:paraId="5C1480E5"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priorities, goals, plans, and events are collaboratively developed by school staff members, parents, students, and community members, and these plans are communicated to all stakeholders by school staff.</w:t>
      </w:r>
    </w:p>
    <w:p w14:paraId="19A1C99B"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use multiple sources of student assessment data as a primary factor in determining professional development priorities.</w:t>
      </w:r>
    </w:p>
    <w:p w14:paraId="6EBFEED0" w14:textId="77777777" w:rsidR="00C7105E" w:rsidRPr="009771D3" w:rsidRDefault="00C7105E" w:rsidP="006641B6">
      <w:pPr>
        <w:pStyle w:val="ListParagraph"/>
        <w:numPr>
          <w:ilvl w:val="0"/>
          <w:numId w:val="66"/>
        </w:numPr>
        <w:rPr>
          <w:rFonts w:ascii="Calibri" w:hAnsi="Calibri"/>
          <w:szCs w:val="24"/>
        </w:rPr>
      </w:pPr>
      <w:r w:rsidRPr="009771D3">
        <w:rPr>
          <w:rFonts w:ascii="Calibri" w:hAnsi="Calibri"/>
          <w:szCs w:val="24"/>
        </w:rPr>
        <w:t>School staff embed professional development into daily routines and practices.</w:t>
      </w:r>
    </w:p>
    <w:p w14:paraId="3D2BA58F" w14:textId="77777777" w:rsidR="00C7105E" w:rsidRPr="00422082" w:rsidRDefault="00C7105E" w:rsidP="00A6180D">
      <w:pPr>
        <w:contextualSpacing/>
        <w:rPr>
          <w:rFonts w:ascii="Calibri" w:hAnsi="Calibri"/>
          <w:szCs w:val="24"/>
        </w:rPr>
      </w:pPr>
      <w:r w:rsidRPr="00422082">
        <w:rPr>
          <w:rFonts w:ascii="Calibri" w:hAnsi="Calibri"/>
          <w:szCs w:val="24"/>
        </w:rPr>
        <w:t xml:space="preserve">Technical </w:t>
      </w:r>
      <w:r>
        <w:rPr>
          <w:rFonts w:ascii="Calibri" w:hAnsi="Calibri"/>
          <w:szCs w:val="24"/>
        </w:rPr>
        <w:t>a</w:t>
      </w:r>
      <w:r w:rsidRPr="00422082">
        <w:rPr>
          <w:rFonts w:ascii="Calibri" w:hAnsi="Calibri"/>
          <w:szCs w:val="24"/>
        </w:rPr>
        <w:t xml:space="preserve">ssistance </w:t>
      </w:r>
      <w:r>
        <w:rPr>
          <w:rFonts w:ascii="Calibri" w:hAnsi="Calibri"/>
          <w:szCs w:val="24"/>
        </w:rPr>
        <w:t>s</w:t>
      </w:r>
      <w:r w:rsidRPr="00422082">
        <w:rPr>
          <w:rFonts w:ascii="Calibri" w:hAnsi="Calibri"/>
          <w:szCs w:val="24"/>
        </w:rPr>
        <w:t xml:space="preserve">trategies </w:t>
      </w:r>
      <w:r>
        <w:rPr>
          <w:rFonts w:ascii="Calibri" w:hAnsi="Calibri"/>
          <w:szCs w:val="24"/>
        </w:rPr>
        <w:t xml:space="preserve">provided to districts will be prioritized on a tiered approach based on the number and/or percentage of CSI and TSI schools in the district and specific needs identified. Strategies </w:t>
      </w:r>
      <w:r w:rsidRPr="00422082">
        <w:rPr>
          <w:rFonts w:ascii="Calibri" w:hAnsi="Calibri"/>
          <w:szCs w:val="24"/>
        </w:rPr>
        <w:t>include:</w:t>
      </w:r>
    </w:p>
    <w:p w14:paraId="4E7B46A6" w14:textId="77777777" w:rsidR="00C7105E" w:rsidRPr="00422082" w:rsidRDefault="00C7105E" w:rsidP="006641B6">
      <w:pPr>
        <w:pStyle w:val="ListParagraph"/>
        <w:numPr>
          <w:ilvl w:val="0"/>
          <w:numId w:val="54"/>
        </w:numPr>
        <w:rPr>
          <w:rFonts w:ascii="Calibri" w:hAnsi="Calibri"/>
          <w:szCs w:val="24"/>
        </w:rPr>
      </w:pPr>
      <w:r w:rsidRPr="00422082">
        <w:rPr>
          <w:rFonts w:ascii="Calibri" w:hAnsi="Calibri"/>
          <w:szCs w:val="24"/>
        </w:rPr>
        <w:t>Support regarding the school improvement planning process. Distance delivery or on-site training from DEED staff</w:t>
      </w:r>
      <w:r>
        <w:rPr>
          <w:rFonts w:ascii="Calibri" w:hAnsi="Calibri"/>
          <w:szCs w:val="24"/>
        </w:rPr>
        <w:t xml:space="preserve"> and experts</w:t>
      </w:r>
      <w:r w:rsidRPr="00422082">
        <w:rPr>
          <w:rFonts w:ascii="Calibri" w:hAnsi="Calibri"/>
          <w:szCs w:val="24"/>
        </w:rPr>
        <w:t xml:space="preserve"> with prioritized responses based on available resources.</w:t>
      </w:r>
    </w:p>
    <w:p w14:paraId="6A523721"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Comprehensive needs assessment</w:t>
      </w:r>
    </w:p>
    <w:p w14:paraId="6F19CB3F"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Gap analysis and root cause training</w:t>
      </w:r>
    </w:p>
    <w:p w14:paraId="4B971D0F"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Strategic planning based on identified needs and root causes</w:t>
      </w:r>
    </w:p>
    <w:p w14:paraId="7F4294F3"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Measureable goals and tasks to support designated needs</w:t>
      </w:r>
    </w:p>
    <w:p w14:paraId="38591993" w14:textId="77777777" w:rsidR="00C7105E" w:rsidRDefault="00C7105E" w:rsidP="006641B6">
      <w:pPr>
        <w:pStyle w:val="ListParagraph"/>
        <w:numPr>
          <w:ilvl w:val="1"/>
          <w:numId w:val="54"/>
        </w:numPr>
        <w:rPr>
          <w:rFonts w:ascii="Calibri" w:hAnsi="Calibri"/>
          <w:szCs w:val="24"/>
        </w:rPr>
      </w:pPr>
      <w:r w:rsidRPr="00422082">
        <w:rPr>
          <w:rFonts w:ascii="Calibri" w:hAnsi="Calibri"/>
          <w:szCs w:val="24"/>
        </w:rPr>
        <w:t>Evaluation, feedback, and reflection</w:t>
      </w:r>
    </w:p>
    <w:p w14:paraId="4D36FA70" w14:textId="77777777" w:rsidR="00C7105E" w:rsidRPr="00C866D6" w:rsidRDefault="00C7105E" w:rsidP="006641B6">
      <w:pPr>
        <w:pStyle w:val="ListParagraph"/>
        <w:numPr>
          <w:ilvl w:val="1"/>
          <w:numId w:val="54"/>
        </w:numPr>
        <w:rPr>
          <w:rFonts w:ascii="Calibri" w:hAnsi="Calibri"/>
          <w:szCs w:val="24"/>
        </w:rPr>
      </w:pPr>
      <w:r>
        <w:rPr>
          <w:rFonts w:ascii="Calibri" w:hAnsi="Calibri"/>
          <w:szCs w:val="24"/>
        </w:rPr>
        <w:t>Leadership support and development</w:t>
      </w:r>
    </w:p>
    <w:p w14:paraId="513272F4" w14:textId="77777777" w:rsidR="00C7105E" w:rsidRPr="00C866D6" w:rsidRDefault="00C7105E" w:rsidP="00A6180D">
      <w:pPr>
        <w:rPr>
          <w:rFonts w:ascii="Calibri" w:hAnsi="Calibri"/>
          <w:szCs w:val="24"/>
        </w:rPr>
      </w:pPr>
    </w:p>
    <w:p w14:paraId="1770D36F" w14:textId="77777777" w:rsidR="00C7105E" w:rsidRPr="00422082" w:rsidRDefault="00C7105E" w:rsidP="006641B6">
      <w:pPr>
        <w:pStyle w:val="ListParagraph"/>
        <w:numPr>
          <w:ilvl w:val="0"/>
          <w:numId w:val="54"/>
        </w:numPr>
        <w:rPr>
          <w:rFonts w:ascii="Calibri" w:hAnsi="Calibri"/>
          <w:szCs w:val="24"/>
        </w:rPr>
      </w:pPr>
      <w:r w:rsidRPr="00422082">
        <w:rPr>
          <w:rFonts w:ascii="Calibri" w:hAnsi="Calibri"/>
          <w:szCs w:val="24"/>
        </w:rPr>
        <w:lastRenderedPageBreak/>
        <w:t xml:space="preserve">Technical </w:t>
      </w:r>
      <w:r>
        <w:rPr>
          <w:rFonts w:ascii="Calibri" w:hAnsi="Calibri"/>
          <w:szCs w:val="24"/>
        </w:rPr>
        <w:t>a</w:t>
      </w:r>
      <w:r w:rsidRPr="00422082">
        <w:rPr>
          <w:rFonts w:ascii="Calibri" w:hAnsi="Calibri"/>
          <w:szCs w:val="24"/>
        </w:rPr>
        <w:t>ssistance on evidence-based interventions</w:t>
      </w:r>
    </w:p>
    <w:p w14:paraId="5E6C062A"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Awareness training regarding evidence-based practices</w:t>
      </w:r>
    </w:p>
    <w:p w14:paraId="713565FA" w14:textId="77777777" w:rsidR="00C7105E" w:rsidRPr="00422082" w:rsidRDefault="00C7105E" w:rsidP="006641B6">
      <w:pPr>
        <w:pStyle w:val="ListParagraph"/>
        <w:numPr>
          <w:ilvl w:val="1"/>
          <w:numId w:val="54"/>
        </w:numPr>
        <w:rPr>
          <w:rFonts w:ascii="Calibri" w:hAnsi="Calibri"/>
          <w:szCs w:val="24"/>
        </w:rPr>
      </w:pPr>
      <w:r w:rsidRPr="00422082">
        <w:rPr>
          <w:rFonts w:ascii="Calibri" w:hAnsi="Calibri"/>
          <w:szCs w:val="24"/>
        </w:rPr>
        <w:t>Determin</w:t>
      </w:r>
      <w:r>
        <w:rPr>
          <w:rFonts w:ascii="Calibri" w:hAnsi="Calibri"/>
          <w:szCs w:val="24"/>
        </w:rPr>
        <w:t>e</w:t>
      </w:r>
      <w:r w:rsidRPr="00422082">
        <w:rPr>
          <w:rFonts w:ascii="Calibri" w:hAnsi="Calibri"/>
          <w:szCs w:val="24"/>
        </w:rPr>
        <w:t xml:space="preserve"> the best intervention to match need</w:t>
      </w:r>
      <w:r>
        <w:rPr>
          <w:rFonts w:ascii="Calibri" w:hAnsi="Calibri"/>
          <w:szCs w:val="24"/>
        </w:rPr>
        <w:t xml:space="preserve"> as identified in comprehensive needs assessments</w:t>
      </w:r>
    </w:p>
    <w:p w14:paraId="2896172A" w14:textId="77777777" w:rsidR="00C7105E" w:rsidRDefault="00C7105E" w:rsidP="006641B6">
      <w:pPr>
        <w:pStyle w:val="ListParagraph"/>
        <w:numPr>
          <w:ilvl w:val="1"/>
          <w:numId w:val="54"/>
        </w:numPr>
        <w:rPr>
          <w:rFonts w:ascii="Calibri" w:hAnsi="Calibri"/>
          <w:szCs w:val="24"/>
        </w:rPr>
      </w:pPr>
      <w:r w:rsidRPr="00422082">
        <w:rPr>
          <w:rFonts w:ascii="Calibri" w:hAnsi="Calibri"/>
          <w:szCs w:val="24"/>
        </w:rPr>
        <w:t>Strategies to create measureable goals using the strategies to meet the needs addressed in a comprehensive needs assessment</w:t>
      </w:r>
    </w:p>
    <w:p w14:paraId="1DE315EE" w14:textId="77777777" w:rsidR="00C7105E" w:rsidRDefault="00C7105E" w:rsidP="006641B6">
      <w:pPr>
        <w:pStyle w:val="ListParagraph"/>
        <w:numPr>
          <w:ilvl w:val="0"/>
          <w:numId w:val="54"/>
        </w:numPr>
        <w:rPr>
          <w:rFonts w:ascii="Calibri" w:hAnsi="Calibri"/>
          <w:szCs w:val="24"/>
        </w:rPr>
      </w:pPr>
      <w:r w:rsidRPr="00422082">
        <w:rPr>
          <w:rFonts w:ascii="Calibri" w:hAnsi="Calibri"/>
          <w:szCs w:val="24"/>
        </w:rPr>
        <w:t>Funding and support to allow district teams to attend statewide conferences that focus on evidence-based practices and effective strategies to build leadersh</w:t>
      </w:r>
      <w:r>
        <w:rPr>
          <w:rFonts w:ascii="Calibri" w:hAnsi="Calibri"/>
          <w:szCs w:val="24"/>
        </w:rPr>
        <w:t xml:space="preserve">ip and pedagogy within a school. Alaska remains committed to deliver training via distance technology such as </w:t>
      </w:r>
      <w:r w:rsidRPr="00C866D6">
        <w:rPr>
          <w:rFonts w:ascii="Calibri" w:hAnsi="Calibri"/>
          <w:color w:val="000000" w:themeColor="text1"/>
          <w:szCs w:val="24"/>
        </w:rPr>
        <w:t xml:space="preserve">ongoing </w:t>
      </w:r>
      <w:r>
        <w:rPr>
          <w:rFonts w:ascii="Calibri" w:hAnsi="Calibri"/>
          <w:szCs w:val="24"/>
        </w:rPr>
        <w:t>online, individualized professional learning opportunities.</w:t>
      </w:r>
    </w:p>
    <w:p w14:paraId="7400BBFA" w14:textId="77777777" w:rsidR="00C7105E" w:rsidRPr="00C866D6" w:rsidRDefault="00C7105E" w:rsidP="006641B6">
      <w:pPr>
        <w:pStyle w:val="ListParagraph"/>
        <w:numPr>
          <w:ilvl w:val="0"/>
          <w:numId w:val="54"/>
        </w:numPr>
        <w:rPr>
          <w:rFonts w:ascii="Calibri" w:hAnsi="Calibri"/>
          <w:szCs w:val="24"/>
        </w:rPr>
      </w:pPr>
      <w:r w:rsidRPr="00422082">
        <w:rPr>
          <w:rFonts w:ascii="Calibri" w:hAnsi="Calibri"/>
          <w:szCs w:val="24"/>
        </w:rPr>
        <w:t xml:space="preserve">Training and </w:t>
      </w:r>
      <w:r>
        <w:rPr>
          <w:rFonts w:ascii="Calibri" w:hAnsi="Calibri"/>
          <w:szCs w:val="24"/>
        </w:rPr>
        <w:t xml:space="preserve">webinar </w:t>
      </w:r>
      <w:r w:rsidRPr="00422082">
        <w:rPr>
          <w:rFonts w:ascii="Calibri" w:hAnsi="Calibri"/>
          <w:szCs w:val="24"/>
        </w:rPr>
        <w:t xml:space="preserve">support on </w:t>
      </w:r>
      <w:r>
        <w:rPr>
          <w:rFonts w:ascii="Calibri" w:hAnsi="Calibri"/>
          <w:szCs w:val="24"/>
        </w:rPr>
        <w:t xml:space="preserve">Alaska’s </w:t>
      </w:r>
      <w:r w:rsidRPr="00422082">
        <w:rPr>
          <w:rFonts w:ascii="Calibri" w:hAnsi="Calibri"/>
          <w:szCs w:val="24"/>
        </w:rPr>
        <w:t>continuous school improvement planning tool (or other comparable planning tool implemented by the district) through</w:t>
      </w:r>
      <w:r>
        <w:rPr>
          <w:rFonts w:ascii="Calibri" w:hAnsi="Calibri"/>
          <w:szCs w:val="24"/>
        </w:rPr>
        <w:t>out</w:t>
      </w:r>
      <w:r w:rsidRPr="00422082">
        <w:rPr>
          <w:rFonts w:ascii="Calibri" w:hAnsi="Calibri"/>
          <w:szCs w:val="24"/>
        </w:rPr>
        <w:t xml:space="preserve"> the year.</w:t>
      </w:r>
    </w:p>
    <w:p w14:paraId="19AF73F8" w14:textId="77777777" w:rsidR="00C7105E" w:rsidRDefault="00C7105E" w:rsidP="006641B6">
      <w:pPr>
        <w:pStyle w:val="ListParagraph"/>
        <w:numPr>
          <w:ilvl w:val="0"/>
          <w:numId w:val="54"/>
        </w:numPr>
        <w:rPr>
          <w:rFonts w:ascii="Calibri" w:hAnsi="Calibri"/>
          <w:szCs w:val="24"/>
        </w:rPr>
      </w:pPr>
      <w:r w:rsidRPr="00422082">
        <w:rPr>
          <w:rFonts w:ascii="Calibri" w:hAnsi="Calibri"/>
          <w:szCs w:val="24"/>
        </w:rPr>
        <w:t>Coaching support through the State System of Support (SSOS) coaching program prioritized to schools with the highest need.</w:t>
      </w:r>
    </w:p>
    <w:p w14:paraId="6514CB6C" w14:textId="77777777" w:rsidR="00C7105E" w:rsidRPr="00A85E5A" w:rsidRDefault="00C7105E" w:rsidP="006641B6">
      <w:pPr>
        <w:pStyle w:val="ListParagraph"/>
        <w:numPr>
          <w:ilvl w:val="0"/>
          <w:numId w:val="54"/>
        </w:numPr>
        <w:rPr>
          <w:rFonts w:ascii="Calibri" w:hAnsi="Calibri"/>
          <w:szCs w:val="24"/>
        </w:rPr>
      </w:pPr>
      <w:r>
        <w:rPr>
          <w:rFonts w:ascii="Calibri" w:hAnsi="Calibri"/>
          <w:szCs w:val="24"/>
        </w:rPr>
        <w:t xml:space="preserve">Continued </w:t>
      </w:r>
      <w:r w:rsidRPr="00422082">
        <w:rPr>
          <w:rFonts w:ascii="Calibri" w:hAnsi="Calibri"/>
          <w:szCs w:val="24"/>
        </w:rPr>
        <w:t xml:space="preserve">technical assistance during scheduled Title </w:t>
      </w:r>
      <w:r>
        <w:rPr>
          <w:rFonts w:ascii="Calibri" w:hAnsi="Calibri"/>
          <w:szCs w:val="24"/>
        </w:rPr>
        <w:t>p</w:t>
      </w:r>
      <w:r w:rsidRPr="00422082">
        <w:rPr>
          <w:rFonts w:ascii="Calibri" w:hAnsi="Calibri"/>
          <w:szCs w:val="24"/>
        </w:rPr>
        <w:t>rogram monitoring visits to districts and schools.</w:t>
      </w:r>
    </w:p>
    <w:p w14:paraId="69CCD482" w14:textId="77777777" w:rsidR="00C7105E" w:rsidRDefault="00C7105E" w:rsidP="006641B6">
      <w:pPr>
        <w:pStyle w:val="ListParagraph"/>
        <w:numPr>
          <w:ilvl w:val="1"/>
          <w:numId w:val="54"/>
        </w:numPr>
        <w:rPr>
          <w:rFonts w:ascii="Calibri" w:hAnsi="Calibri"/>
          <w:szCs w:val="24"/>
        </w:rPr>
      </w:pPr>
      <w:r>
        <w:rPr>
          <w:rFonts w:ascii="Calibri" w:hAnsi="Calibri"/>
          <w:szCs w:val="24"/>
        </w:rPr>
        <w:t>Parent and community involvement strategies</w:t>
      </w:r>
    </w:p>
    <w:p w14:paraId="72017D1A" w14:textId="77777777" w:rsidR="00C7105E" w:rsidRDefault="00C7105E" w:rsidP="006641B6">
      <w:pPr>
        <w:pStyle w:val="ListParagraph"/>
        <w:numPr>
          <w:ilvl w:val="1"/>
          <w:numId w:val="54"/>
        </w:numPr>
        <w:rPr>
          <w:rFonts w:ascii="Calibri" w:hAnsi="Calibri"/>
          <w:szCs w:val="24"/>
        </w:rPr>
      </w:pPr>
      <w:proofErr w:type="spellStart"/>
      <w:r>
        <w:rPr>
          <w:rFonts w:ascii="Calibri" w:hAnsi="Calibri"/>
          <w:szCs w:val="24"/>
        </w:rPr>
        <w:t>Schoolwide</w:t>
      </w:r>
      <w:proofErr w:type="spellEnd"/>
      <w:r>
        <w:rPr>
          <w:rFonts w:ascii="Calibri" w:hAnsi="Calibri"/>
          <w:szCs w:val="24"/>
        </w:rPr>
        <w:t xml:space="preserve"> planning </w:t>
      </w:r>
    </w:p>
    <w:p w14:paraId="3E2954A4" w14:textId="77777777" w:rsidR="00C7105E" w:rsidRDefault="00C7105E" w:rsidP="006641B6">
      <w:pPr>
        <w:pStyle w:val="ListParagraph"/>
        <w:numPr>
          <w:ilvl w:val="1"/>
          <w:numId w:val="54"/>
        </w:numPr>
        <w:rPr>
          <w:rFonts w:ascii="Calibri" w:hAnsi="Calibri"/>
          <w:szCs w:val="24"/>
        </w:rPr>
      </w:pPr>
      <w:r>
        <w:rPr>
          <w:rFonts w:ascii="Calibri" w:hAnsi="Calibri"/>
          <w:szCs w:val="24"/>
        </w:rPr>
        <w:t>Guidance for leveraging federal funding streams to promote student achievement</w:t>
      </w:r>
    </w:p>
    <w:p w14:paraId="52A0FDB4" w14:textId="77777777" w:rsidR="00C7105E" w:rsidRDefault="00C7105E" w:rsidP="006641B6">
      <w:pPr>
        <w:pStyle w:val="ListParagraph"/>
        <w:numPr>
          <w:ilvl w:val="1"/>
          <w:numId w:val="54"/>
        </w:numPr>
        <w:rPr>
          <w:rFonts w:ascii="Calibri" w:hAnsi="Calibri"/>
          <w:szCs w:val="24"/>
        </w:rPr>
      </w:pPr>
      <w:r>
        <w:rPr>
          <w:rFonts w:ascii="Calibri" w:hAnsi="Calibri"/>
          <w:szCs w:val="24"/>
        </w:rPr>
        <w:t xml:space="preserve">Tools and templates </w:t>
      </w:r>
    </w:p>
    <w:p w14:paraId="0531D256" w14:textId="77777777" w:rsidR="00C7105E" w:rsidRDefault="00C7105E" w:rsidP="006641B6">
      <w:pPr>
        <w:pStyle w:val="ListParagraph"/>
        <w:numPr>
          <w:ilvl w:val="1"/>
          <w:numId w:val="54"/>
        </w:numPr>
        <w:rPr>
          <w:rFonts w:ascii="Calibri" w:hAnsi="Calibri"/>
          <w:szCs w:val="24"/>
        </w:rPr>
      </w:pPr>
      <w:r>
        <w:rPr>
          <w:rFonts w:ascii="Calibri" w:hAnsi="Calibri"/>
          <w:szCs w:val="24"/>
        </w:rPr>
        <w:t xml:space="preserve">Programmatic planning guidance </w:t>
      </w:r>
    </w:p>
    <w:p w14:paraId="635EEEF4" w14:textId="77777777" w:rsidR="00C7105E" w:rsidRPr="00C866D6" w:rsidRDefault="00C7105E" w:rsidP="006641B6">
      <w:pPr>
        <w:pStyle w:val="ListParagraph"/>
        <w:numPr>
          <w:ilvl w:val="1"/>
          <w:numId w:val="54"/>
        </w:numPr>
        <w:rPr>
          <w:rFonts w:ascii="Calibri" w:hAnsi="Calibri"/>
          <w:szCs w:val="24"/>
        </w:rPr>
      </w:pPr>
      <w:r>
        <w:rPr>
          <w:rFonts w:ascii="Calibri" w:hAnsi="Calibri"/>
          <w:szCs w:val="24"/>
        </w:rPr>
        <w:t>Interstate collaboration opportunities</w:t>
      </w:r>
    </w:p>
    <w:p w14:paraId="00C56C93" w14:textId="77777777" w:rsidR="00C7105E" w:rsidRPr="004C7756" w:rsidRDefault="00C7105E" w:rsidP="006641B6">
      <w:pPr>
        <w:pStyle w:val="ListParagraph"/>
        <w:numPr>
          <w:ilvl w:val="0"/>
          <w:numId w:val="54"/>
        </w:numPr>
        <w:rPr>
          <w:rFonts w:ascii="Calibri" w:hAnsi="Calibri"/>
          <w:szCs w:val="24"/>
        </w:rPr>
      </w:pPr>
      <w:r>
        <w:rPr>
          <w:rFonts w:ascii="Calibri" w:hAnsi="Calibri"/>
          <w:szCs w:val="24"/>
        </w:rPr>
        <w:t>Intentional collaboration of diverse resources</w:t>
      </w:r>
    </w:p>
    <w:p w14:paraId="30E2E5B9" w14:textId="77777777" w:rsidR="00C7105E" w:rsidRDefault="00C7105E" w:rsidP="006641B6">
      <w:pPr>
        <w:pStyle w:val="ListParagraph"/>
        <w:numPr>
          <w:ilvl w:val="1"/>
          <w:numId w:val="54"/>
        </w:numPr>
        <w:rPr>
          <w:rFonts w:ascii="Calibri" w:hAnsi="Calibri"/>
          <w:szCs w:val="24"/>
        </w:rPr>
      </w:pPr>
      <w:r>
        <w:rPr>
          <w:rFonts w:ascii="Calibri" w:hAnsi="Calibri"/>
          <w:szCs w:val="24"/>
        </w:rPr>
        <w:t>The State will coordinate and better utilize experts from within DEED, external partners, SSOS coaches, and teachers/leaders in the field.</w:t>
      </w:r>
    </w:p>
    <w:p w14:paraId="0B93A508" w14:textId="77777777" w:rsidR="00C7105E" w:rsidRDefault="00C7105E" w:rsidP="006641B6">
      <w:pPr>
        <w:pStyle w:val="ListParagraph"/>
        <w:numPr>
          <w:ilvl w:val="2"/>
          <w:numId w:val="54"/>
        </w:numPr>
        <w:rPr>
          <w:rFonts w:ascii="Calibri" w:hAnsi="Calibri"/>
          <w:szCs w:val="24"/>
        </w:rPr>
      </w:pPr>
      <w:r>
        <w:rPr>
          <w:rFonts w:ascii="Calibri" w:hAnsi="Calibri"/>
          <w:szCs w:val="24"/>
        </w:rPr>
        <w:t xml:space="preserve">Early Childhood Education </w:t>
      </w:r>
    </w:p>
    <w:p w14:paraId="3A2ED313" w14:textId="77777777" w:rsidR="00C7105E" w:rsidRDefault="00C7105E" w:rsidP="006641B6">
      <w:pPr>
        <w:pStyle w:val="ListParagraph"/>
        <w:numPr>
          <w:ilvl w:val="2"/>
          <w:numId w:val="54"/>
        </w:numPr>
        <w:rPr>
          <w:rFonts w:ascii="Calibri" w:hAnsi="Calibri"/>
          <w:szCs w:val="24"/>
        </w:rPr>
      </w:pPr>
      <w:r>
        <w:rPr>
          <w:rFonts w:ascii="Calibri" w:hAnsi="Calibri"/>
          <w:szCs w:val="24"/>
        </w:rPr>
        <w:t>Career and Technical Education</w:t>
      </w:r>
    </w:p>
    <w:p w14:paraId="316453B6" w14:textId="77777777" w:rsidR="00C7105E" w:rsidRDefault="00C7105E" w:rsidP="006641B6">
      <w:pPr>
        <w:pStyle w:val="ListParagraph"/>
        <w:numPr>
          <w:ilvl w:val="2"/>
          <w:numId w:val="54"/>
        </w:numPr>
        <w:rPr>
          <w:rFonts w:ascii="Calibri" w:hAnsi="Calibri"/>
          <w:szCs w:val="24"/>
        </w:rPr>
      </w:pPr>
      <w:r>
        <w:rPr>
          <w:rFonts w:ascii="Calibri" w:hAnsi="Calibri"/>
          <w:szCs w:val="24"/>
        </w:rPr>
        <w:t>English Language Arts, Mathematics, and Science Standards</w:t>
      </w:r>
    </w:p>
    <w:p w14:paraId="70EC3A24" w14:textId="77777777" w:rsidR="00C7105E" w:rsidRDefault="00C7105E" w:rsidP="006641B6">
      <w:pPr>
        <w:pStyle w:val="ListParagraph"/>
        <w:numPr>
          <w:ilvl w:val="2"/>
          <w:numId w:val="54"/>
        </w:numPr>
        <w:rPr>
          <w:rFonts w:ascii="Calibri" w:hAnsi="Calibri"/>
          <w:szCs w:val="24"/>
        </w:rPr>
      </w:pPr>
      <w:r>
        <w:rPr>
          <w:rFonts w:ascii="Calibri" w:hAnsi="Calibri"/>
          <w:szCs w:val="24"/>
        </w:rPr>
        <w:t>Health and Safety/School Climate initiatives</w:t>
      </w:r>
    </w:p>
    <w:p w14:paraId="317F6CCB" w14:textId="77777777" w:rsidR="00C7105E" w:rsidRDefault="00C7105E" w:rsidP="006641B6">
      <w:pPr>
        <w:pStyle w:val="ListParagraph"/>
        <w:numPr>
          <w:ilvl w:val="2"/>
          <w:numId w:val="54"/>
        </w:numPr>
        <w:rPr>
          <w:rFonts w:ascii="Calibri" w:hAnsi="Calibri"/>
          <w:szCs w:val="24"/>
        </w:rPr>
      </w:pPr>
      <w:r>
        <w:rPr>
          <w:rFonts w:ascii="Calibri" w:hAnsi="Calibri"/>
          <w:szCs w:val="24"/>
        </w:rPr>
        <w:t>Special Education</w:t>
      </w:r>
    </w:p>
    <w:p w14:paraId="007D6903" w14:textId="77777777" w:rsidR="00C7105E" w:rsidRDefault="00C7105E" w:rsidP="006641B6">
      <w:pPr>
        <w:pStyle w:val="ListParagraph"/>
        <w:numPr>
          <w:ilvl w:val="2"/>
          <w:numId w:val="54"/>
        </w:numPr>
        <w:rPr>
          <w:rFonts w:ascii="Calibri" w:hAnsi="Calibri"/>
          <w:szCs w:val="24"/>
        </w:rPr>
      </w:pPr>
      <w:r>
        <w:rPr>
          <w:rFonts w:ascii="Calibri" w:hAnsi="Calibri"/>
          <w:szCs w:val="24"/>
        </w:rPr>
        <w:t>English Learners and Language Acquisition</w:t>
      </w:r>
    </w:p>
    <w:p w14:paraId="66325395" w14:textId="77777777" w:rsidR="00C7105E" w:rsidRPr="00C866D6" w:rsidRDefault="00C7105E" w:rsidP="006641B6">
      <w:pPr>
        <w:pStyle w:val="ListParagraph"/>
        <w:numPr>
          <w:ilvl w:val="2"/>
          <w:numId w:val="54"/>
        </w:numPr>
        <w:rPr>
          <w:rFonts w:ascii="Calibri" w:hAnsi="Calibri"/>
          <w:szCs w:val="24"/>
        </w:rPr>
      </w:pPr>
      <w:r>
        <w:rPr>
          <w:rFonts w:ascii="Calibri" w:hAnsi="Calibri"/>
          <w:szCs w:val="24"/>
        </w:rPr>
        <w:t>Instructional Best Practices</w:t>
      </w:r>
    </w:p>
    <w:p w14:paraId="02B93C7E" w14:textId="77777777" w:rsidR="00C7105E" w:rsidRPr="00C866D6" w:rsidRDefault="00C7105E" w:rsidP="006641B6">
      <w:pPr>
        <w:pStyle w:val="ListParagraph"/>
        <w:numPr>
          <w:ilvl w:val="1"/>
          <w:numId w:val="54"/>
        </w:numPr>
        <w:rPr>
          <w:rFonts w:ascii="Calibri" w:hAnsi="Calibri"/>
          <w:szCs w:val="24"/>
        </w:rPr>
      </w:pPr>
      <w:r w:rsidRPr="00422082">
        <w:rPr>
          <w:rFonts w:ascii="Calibri" w:hAnsi="Calibri"/>
          <w:szCs w:val="24"/>
        </w:rPr>
        <w:t xml:space="preserve">DEED website resources </w:t>
      </w:r>
      <w:r>
        <w:rPr>
          <w:rFonts w:ascii="Calibri" w:hAnsi="Calibri"/>
          <w:szCs w:val="24"/>
        </w:rPr>
        <w:t xml:space="preserve">that </w:t>
      </w:r>
      <w:r w:rsidRPr="00422082">
        <w:rPr>
          <w:rFonts w:ascii="Calibri" w:hAnsi="Calibri"/>
          <w:szCs w:val="24"/>
        </w:rPr>
        <w:t>include fact sheets, Power Point presentation</w:t>
      </w:r>
      <w:r>
        <w:rPr>
          <w:rFonts w:ascii="Calibri" w:hAnsi="Calibri"/>
          <w:szCs w:val="24"/>
        </w:rPr>
        <w:t>s</w:t>
      </w:r>
      <w:r w:rsidRPr="00422082">
        <w:rPr>
          <w:rFonts w:ascii="Calibri" w:hAnsi="Calibri"/>
          <w:szCs w:val="24"/>
        </w:rPr>
        <w:t xml:space="preserve"> (static and recorded), professional learning modules, tool kits, lists of resources (What Works Clearinghouse, Regional Educational Laboratories), etc.</w:t>
      </w:r>
    </w:p>
    <w:p w14:paraId="4BBAA4D5" w14:textId="77777777" w:rsidR="00C7105E" w:rsidRPr="00697AC2" w:rsidRDefault="00C7105E" w:rsidP="00A92E69">
      <w:pPr>
        <w:pStyle w:val="Default"/>
        <w:numPr>
          <w:ilvl w:val="0"/>
          <w:numId w:val="62"/>
        </w:numPr>
        <w:spacing w:after="120"/>
        <w:ind w:left="1440"/>
        <w:rPr>
          <w:rFonts w:ascii="Calibri" w:hAnsi="Calibri"/>
          <w:sz w:val="22"/>
          <w:szCs w:val="22"/>
        </w:rPr>
      </w:pPr>
      <w:r w:rsidRPr="00697AC2">
        <w:rPr>
          <w:rFonts w:ascii="Calibri" w:hAnsi="Calibri"/>
          <w:sz w:val="22"/>
          <w:szCs w:val="22"/>
          <w:u w:val="single"/>
        </w:rPr>
        <w:t>Additional Optional Action</w:t>
      </w:r>
      <w:r w:rsidRPr="00697AC2">
        <w:rPr>
          <w:rFonts w:ascii="Calibri" w:hAnsi="Calibri"/>
          <w:sz w:val="22"/>
          <w:szCs w:val="22"/>
        </w:rPr>
        <w:t xml:space="preserve">. If applicable, describe the </w:t>
      </w:r>
      <w:r>
        <w:rPr>
          <w:rFonts w:ascii="Calibri" w:hAnsi="Calibri"/>
          <w:sz w:val="22"/>
          <w:szCs w:val="22"/>
        </w:rPr>
        <w:t xml:space="preserve">action the State will take to </w:t>
      </w:r>
      <w:r w:rsidRPr="00697AC2">
        <w:rPr>
          <w:rFonts w:ascii="Calibri" w:hAnsi="Calibri"/>
          <w:sz w:val="22"/>
          <w:szCs w:val="22"/>
        </w:rPr>
        <w:t>initiate additional improvement in any LEA with a signif</w:t>
      </w:r>
      <w:r>
        <w:rPr>
          <w:rFonts w:ascii="Calibri" w:hAnsi="Calibri"/>
          <w:sz w:val="22"/>
          <w:szCs w:val="22"/>
        </w:rPr>
        <w:t xml:space="preserve">icant number or percentage of </w:t>
      </w:r>
      <w:r w:rsidRPr="00697AC2">
        <w:rPr>
          <w:rFonts w:ascii="Calibri" w:hAnsi="Calibri"/>
          <w:sz w:val="22"/>
          <w:szCs w:val="22"/>
        </w:rPr>
        <w:t xml:space="preserve">schools that are consistently identified by the State </w:t>
      </w:r>
      <w:r>
        <w:rPr>
          <w:rFonts w:ascii="Calibri" w:hAnsi="Calibri"/>
          <w:sz w:val="22"/>
          <w:szCs w:val="22"/>
        </w:rPr>
        <w:t xml:space="preserve">for comprehensive support and </w:t>
      </w:r>
      <w:r w:rsidRPr="00697AC2">
        <w:rPr>
          <w:rFonts w:ascii="Calibri" w:hAnsi="Calibri"/>
          <w:sz w:val="22"/>
          <w:szCs w:val="22"/>
        </w:rPr>
        <w:t>improvement and are not meeting exit criteria establish</w:t>
      </w:r>
      <w:r>
        <w:rPr>
          <w:rFonts w:ascii="Calibri" w:hAnsi="Calibri"/>
          <w:sz w:val="22"/>
          <w:szCs w:val="22"/>
        </w:rPr>
        <w:t xml:space="preserve">ed by the State or in any LEA </w:t>
      </w:r>
      <w:r w:rsidRPr="00697AC2">
        <w:rPr>
          <w:rFonts w:ascii="Calibri" w:hAnsi="Calibri"/>
          <w:sz w:val="22"/>
          <w:szCs w:val="22"/>
        </w:rPr>
        <w:t xml:space="preserve">with a significant number or percentage of schools implementing </w:t>
      </w:r>
      <w:r w:rsidRPr="00697AC2">
        <w:rPr>
          <w:rFonts w:ascii="Calibri" w:hAnsi="Calibri"/>
          <w:color w:val="auto"/>
          <w:sz w:val="22"/>
          <w:szCs w:val="22"/>
        </w:rPr>
        <w:t>targeted support an</w:t>
      </w:r>
      <w:r>
        <w:rPr>
          <w:rFonts w:ascii="Calibri" w:hAnsi="Calibri"/>
          <w:color w:val="auto"/>
          <w:sz w:val="22"/>
          <w:szCs w:val="22"/>
        </w:rPr>
        <w:t xml:space="preserve">d </w:t>
      </w:r>
      <w:r w:rsidRPr="00697AC2">
        <w:rPr>
          <w:rFonts w:ascii="Calibri" w:hAnsi="Calibri"/>
          <w:color w:val="auto"/>
          <w:sz w:val="22"/>
          <w:szCs w:val="22"/>
        </w:rPr>
        <w:t xml:space="preserve">improvement plans. </w:t>
      </w:r>
    </w:p>
    <w:p w14:paraId="3DB6B9B0" w14:textId="77777777" w:rsidR="00C7105E" w:rsidRDefault="00C7105E" w:rsidP="00A6180D">
      <w:pPr>
        <w:tabs>
          <w:tab w:val="left" w:pos="1035"/>
        </w:tabs>
        <w:rPr>
          <w:rFonts w:ascii="Calibri" w:hAnsi="Calibri"/>
        </w:rPr>
      </w:pPr>
      <w:r>
        <w:rPr>
          <w:rFonts w:ascii="Calibri" w:hAnsi="Calibri"/>
        </w:rPr>
        <w:t>N/A – These actions are presented in the previous three responses.</w:t>
      </w:r>
    </w:p>
    <w:p w14:paraId="3E9FEBF2" w14:textId="77777777" w:rsidR="00EB06D2" w:rsidRDefault="00EB06D2">
      <w:r>
        <w:br w:type="page"/>
      </w:r>
    </w:p>
    <w:p w14:paraId="70212CAB" w14:textId="77777777" w:rsidR="00A92E69" w:rsidRPr="00A92E69" w:rsidRDefault="007E5090" w:rsidP="00A92E69">
      <w:pPr>
        <w:pStyle w:val="Heading2"/>
        <w:numPr>
          <w:ilvl w:val="0"/>
          <w:numId w:val="87"/>
        </w:numPr>
        <w:rPr>
          <w:i/>
          <w:iCs/>
        </w:rPr>
      </w:pPr>
      <w:r w:rsidRPr="00F72EC2">
        <w:lastRenderedPageBreak/>
        <w:t>Disproportionate Rates of Access to</w:t>
      </w:r>
      <w:r w:rsidRPr="00697AC2">
        <w:rPr>
          <w:u w:val="single"/>
        </w:rPr>
        <w:t xml:space="preserve"> </w:t>
      </w:r>
      <w:r w:rsidRPr="000C1293">
        <w:t>Educators</w:t>
      </w:r>
    </w:p>
    <w:p w14:paraId="297F727F" w14:textId="3AABE947" w:rsidR="007E5090" w:rsidRPr="000100FA" w:rsidRDefault="007E5090" w:rsidP="000100FA">
      <w:pPr>
        <w:spacing w:after="0"/>
        <w:ind w:firstLine="360"/>
        <w:rPr>
          <w:rStyle w:val="SubtleEmphasis"/>
        </w:rPr>
      </w:pPr>
      <w:r w:rsidRPr="000100FA">
        <w:rPr>
          <w:rStyle w:val="SubtleEmphasis"/>
        </w:rPr>
        <w:t>(ESEA section 1111(g</w:t>
      </w:r>
      <w:proofErr w:type="gramStart"/>
      <w:r w:rsidRPr="000100FA">
        <w:rPr>
          <w:rStyle w:val="SubtleEmphasis"/>
        </w:rPr>
        <w:t>)(</w:t>
      </w:r>
      <w:proofErr w:type="gramEnd"/>
      <w:r w:rsidRPr="000100FA">
        <w:rPr>
          <w:rStyle w:val="SubtleEmphasis"/>
        </w:rPr>
        <w:t xml:space="preserve">1)(B)): </w:t>
      </w:r>
    </w:p>
    <w:p w14:paraId="195846BC" w14:textId="77777777" w:rsidR="007E5090" w:rsidRPr="00697AC2" w:rsidRDefault="007E5090" w:rsidP="000100FA">
      <w:pPr>
        <w:ind w:left="360"/>
        <w:rPr>
          <w:sz w:val="14"/>
          <w:szCs w:val="14"/>
        </w:rPr>
      </w:pPr>
      <w:r w:rsidRPr="00697AC2">
        <w:t>Describe how low-income and minority children enrolled in schools assisted under Title I, Part A are not served at disproportionate rates by ineffective, out-of-field, or inexperienced teachers, and the measures the SEA will use to evaluate and publicly report the progress of the SEA with respect to such description.</w:t>
      </w:r>
    </w:p>
    <w:p w14:paraId="5684D1D1" w14:textId="77777777" w:rsidR="007E5090" w:rsidRPr="001012DA" w:rsidRDefault="007E5090" w:rsidP="000100FA">
      <w:pPr>
        <w:ind w:left="360"/>
        <w:rPr>
          <w:sz w:val="10"/>
          <w:szCs w:val="14"/>
        </w:rPr>
      </w:pPr>
      <w:r w:rsidRPr="00697AC2">
        <w:t>(Consistent with ESEA section 1111(g)(1)(B), this description should not be construed as requiring a State to develop or implement a teacher, principal or other school leader evaluation system.)</w:t>
      </w:r>
    </w:p>
    <w:p w14:paraId="744107F8" w14:textId="77777777" w:rsidR="007E5090" w:rsidRDefault="007E5090" w:rsidP="00561022">
      <w:pPr>
        <w:autoSpaceDE w:val="0"/>
        <w:autoSpaceDN w:val="0"/>
        <w:adjustRightInd w:val="0"/>
        <w:rPr>
          <w:rFonts w:ascii="Calibri" w:eastAsia="MS Mincho" w:hAnsi="Calibri" w:cs="Calibri"/>
          <w:b/>
          <w:color w:val="000000"/>
          <w:szCs w:val="24"/>
        </w:rPr>
      </w:pPr>
      <w:r>
        <w:rPr>
          <w:rFonts w:ascii="Calibri" w:eastAsia="MS Mincho" w:hAnsi="Calibri" w:cs="Calibri"/>
          <w:b/>
          <w:color w:val="000000"/>
          <w:szCs w:val="24"/>
        </w:rPr>
        <w:t xml:space="preserve">Alaska </w:t>
      </w:r>
      <w:r w:rsidRPr="00DF6724">
        <w:rPr>
          <w:rFonts w:ascii="Calibri" w:eastAsia="MS Mincho" w:hAnsi="Calibri" w:cs="Calibri"/>
          <w:b/>
          <w:color w:val="000000"/>
          <w:szCs w:val="24"/>
        </w:rPr>
        <w:t>Definitions</w:t>
      </w:r>
    </w:p>
    <w:p w14:paraId="6C6308D8" w14:textId="77777777" w:rsidR="007E5090" w:rsidRPr="001E6AFD" w:rsidRDefault="007E5090" w:rsidP="00561022">
      <w:p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t>DEED will use the following</w:t>
      </w:r>
      <w:r w:rsidRPr="001C329F">
        <w:rPr>
          <w:rFonts w:ascii="Calibri" w:eastAsia="MS Mincho" w:hAnsi="Calibri" w:cs="Calibri"/>
          <w:color w:val="000000"/>
          <w:szCs w:val="24"/>
        </w:rPr>
        <w:t xml:space="preserve"> definitions</w:t>
      </w:r>
      <w:r>
        <w:rPr>
          <w:rFonts w:ascii="Calibri" w:eastAsia="MS Mincho" w:hAnsi="Calibri" w:cs="Calibri"/>
          <w:color w:val="000000"/>
          <w:szCs w:val="24"/>
        </w:rPr>
        <w:t xml:space="preserve"> to determine d</w:t>
      </w:r>
      <w:r w:rsidRPr="001E6AFD">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1E6AFD">
        <w:rPr>
          <w:rFonts w:ascii="Calibri" w:eastAsia="MS Mincho" w:hAnsi="Calibri" w:cs="Calibri"/>
          <w:color w:val="000000"/>
          <w:szCs w:val="24"/>
        </w:rPr>
        <w:t xml:space="preserve">ates of </w:t>
      </w:r>
      <w:r>
        <w:rPr>
          <w:rFonts w:ascii="Calibri" w:eastAsia="MS Mincho" w:hAnsi="Calibri" w:cs="Calibri"/>
          <w:color w:val="000000"/>
          <w:szCs w:val="24"/>
        </w:rPr>
        <w:t>a</w:t>
      </w:r>
      <w:r w:rsidRPr="001E6AFD">
        <w:rPr>
          <w:rFonts w:ascii="Calibri" w:eastAsia="MS Mincho" w:hAnsi="Calibri" w:cs="Calibri"/>
          <w:color w:val="000000"/>
          <w:szCs w:val="24"/>
        </w:rPr>
        <w:t xml:space="preserve">ccess to </w:t>
      </w:r>
      <w:r>
        <w:rPr>
          <w:rFonts w:ascii="Calibri" w:eastAsia="MS Mincho" w:hAnsi="Calibri" w:cs="Calibri"/>
          <w:color w:val="000000"/>
          <w:szCs w:val="24"/>
        </w:rPr>
        <w:t>e</w:t>
      </w:r>
      <w:r w:rsidRPr="001E6AFD">
        <w:rPr>
          <w:rFonts w:ascii="Calibri" w:eastAsia="MS Mincho" w:hAnsi="Calibri" w:cs="Calibri"/>
          <w:color w:val="000000"/>
          <w:szCs w:val="24"/>
        </w:rPr>
        <w:t>ducators for low-income and minority children enrolled in schools assisted under Title I, Part A</w:t>
      </w:r>
      <w:r>
        <w:rPr>
          <w:rFonts w:ascii="Calibri" w:eastAsia="MS Mincho" w:hAnsi="Calibri" w:cs="Calibri"/>
          <w:color w:val="000000"/>
          <w:szCs w:val="24"/>
        </w:rPr>
        <w:t xml:space="preserve"> </w:t>
      </w:r>
      <w:r w:rsidRPr="001C329F">
        <w:rPr>
          <w:rFonts w:ascii="Calibri" w:eastAsia="MS Mincho" w:hAnsi="Calibri" w:cs="Calibri"/>
          <w:color w:val="000000"/>
          <w:szCs w:val="24"/>
        </w:rPr>
        <w:t>in Alaska</w:t>
      </w:r>
      <w:r w:rsidRPr="001E6AFD">
        <w:rPr>
          <w:rFonts w:ascii="Calibri" w:eastAsia="MS Mincho" w:hAnsi="Calibri" w:cs="Calibri"/>
          <w:color w:val="000000"/>
          <w:szCs w:val="24"/>
        </w:rPr>
        <w:t>:</w:t>
      </w:r>
    </w:p>
    <w:p w14:paraId="2E57465F" w14:textId="77777777" w:rsidR="007E5090" w:rsidRPr="001E6AFD" w:rsidRDefault="007E5090" w:rsidP="006641B6">
      <w:pPr>
        <w:pStyle w:val="ListParagraph"/>
        <w:numPr>
          <w:ilvl w:val="0"/>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Low-income student (Economically Disadvantaged Student)</w:t>
      </w:r>
      <w:r w:rsidRPr="001E6AFD">
        <w:rPr>
          <w:rFonts w:ascii="Calibri" w:eastAsia="MS Mincho" w:hAnsi="Calibri" w:cs="Calibri"/>
          <w:color w:val="000000"/>
          <w:szCs w:val="24"/>
        </w:rPr>
        <w:t xml:space="preserve"> – </w:t>
      </w:r>
      <w:r>
        <w:rPr>
          <w:color w:val="000000"/>
        </w:rPr>
        <w:t xml:space="preserve">A student who is eligible for free or reduced-price school meals under the department’s </w:t>
      </w:r>
      <w:r>
        <w:rPr>
          <w:i/>
          <w:iCs/>
          <w:color w:val="000000"/>
        </w:rPr>
        <w:t>Alaska Income Eligibility Guidelines for Free and Reduced Meals</w:t>
      </w:r>
      <w:r>
        <w:rPr>
          <w:color w:val="000000"/>
        </w:rPr>
        <w:t>, as defined in 4 AAC 06.899.(5). These guidelines are based on the Federal Poverty Guidelines, and include students who are qualified for the Temporary Assistance to Needy Families (TANF) and Supplemental Nutrition Assistance Program (SNAP). In addition, students who are identified as migrant students, homeless students, or students in foster care qualify as low-income categorically by their membership in these identified categories.</w:t>
      </w:r>
    </w:p>
    <w:p w14:paraId="653386BF" w14:textId="77777777" w:rsidR="007E5090" w:rsidRPr="001E6AFD" w:rsidRDefault="007E5090" w:rsidP="006641B6">
      <w:pPr>
        <w:pStyle w:val="ListParagraph"/>
        <w:numPr>
          <w:ilvl w:val="0"/>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Minority Student (Students of Color)</w:t>
      </w:r>
      <w:r w:rsidRPr="001E6AFD">
        <w:rPr>
          <w:rFonts w:ascii="Calibri" w:eastAsia="MS Mincho" w:hAnsi="Calibri" w:cs="Calibri"/>
          <w:color w:val="000000"/>
          <w:szCs w:val="24"/>
        </w:rPr>
        <w:t xml:space="preserve"> – A student identified as a member of a minority race or ethnicity (</w:t>
      </w:r>
      <w:r>
        <w:rPr>
          <w:rFonts w:ascii="Calibri" w:eastAsia="MS Mincho" w:hAnsi="Calibri" w:cs="Calibri"/>
          <w:color w:val="000000"/>
          <w:szCs w:val="24"/>
        </w:rPr>
        <w:t>i.e.</w:t>
      </w:r>
      <w:r w:rsidRPr="001E6AFD">
        <w:rPr>
          <w:rFonts w:ascii="Calibri" w:eastAsia="MS Mincho" w:hAnsi="Calibri" w:cs="Calibri"/>
          <w:color w:val="000000"/>
          <w:szCs w:val="24"/>
        </w:rPr>
        <w:t xml:space="preserve">, African American, Alaskan Native, American Indian, Asian or Pacific Islander, Hispanic, or two or more races, as defined in 4 AAC 06.899). </w:t>
      </w:r>
    </w:p>
    <w:p w14:paraId="04C53E3C" w14:textId="77777777" w:rsidR="007E5090" w:rsidRPr="001E6AFD" w:rsidRDefault="007E5090" w:rsidP="006641B6">
      <w:pPr>
        <w:pStyle w:val="ListParagraph"/>
        <w:numPr>
          <w:ilvl w:val="0"/>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Inexperienced Teacher</w:t>
      </w:r>
      <w:r w:rsidRPr="001E6AFD">
        <w:rPr>
          <w:rFonts w:ascii="Calibri" w:eastAsia="MS Mincho" w:hAnsi="Calibri" w:cs="Calibri"/>
          <w:color w:val="000000"/>
          <w:szCs w:val="24"/>
        </w:rPr>
        <w:t xml:space="preserve"> </w:t>
      </w:r>
      <w:r>
        <w:rPr>
          <w:rFonts w:ascii="Calibri" w:eastAsia="MS Mincho" w:hAnsi="Calibri" w:cs="Calibri"/>
          <w:color w:val="000000"/>
          <w:szCs w:val="24"/>
        </w:rPr>
        <w:t xml:space="preserve">(First Year Teacher) </w:t>
      </w:r>
      <w:r w:rsidRPr="001E6AFD">
        <w:rPr>
          <w:rFonts w:ascii="Calibri" w:eastAsia="MS Mincho" w:hAnsi="Calibri" w:cs="Calibri"/>
          <w:color w:val="000000"/>
          <w:szCs w:val="24"/>
        </w:rPr>
        <w:t xml:space="preserve">– A teacher in </w:t>
      </w:r>
      <w:r>
        <w:rPr>
          <w:rFonts w:ascii="Calibri" w:eastAsia="MS Mincho" w:hAnsi="Calibri" w:cs="Calibri"/>
          <w:color w:val="000000"/>
          <w:szCs w:val="24"/>
        </w:rPr>
        <w:t>the</w:t>
      </w:r>
      <w:r w:rsidRPr="001E6AFD">
        <w:rPr>
          <w:rFonts w:ascii="Calibri" w:eastAsia="MS Mincho" w:hAnsi="Calibri" w:cs="Calibri"/>
          <w:color w:val="000000"/>
          <w:szCs w:val="24"/>
        </w:rPr>
        <w:t xml:space="preserve"> first year of practice</w:t>
      </w:r>
      <w:r>
        <w:rPr>
          <w:rFonts w:ascii="Calibri" w:eastAsia="MS Mincho" w:hAnsi="Calibri" w:cs="Calibri"/>
          <w:color w:val="000000"/>
          <w:szCs w:val="24"/>
        </w:rPr>
        <w:t>, having no previous experience leading classroom instruction other than student teaching or similar preparation experiences</w:t>
      </w:r>
      <w:r w:rsidRPr="001E6AFD">
        <w:rPr>
          <w:rFonts w:ascii="Calibri" w:eastAsia="MS Mincho" w:hAnsi="Calibri" w:cs="Calibri"/>
          <w:color w:val="000000"/>
          <w:szCs w:val="24"/>
        </w:rPr>
        <w:t>. Also, inexperienced principals and other school leaders would be in their first year of leading.</w:t>
      </w:r>
    </w:p>
    <w:p w14:paraId="1DF1260B" w14:textId="6B5B5105" w:rsidR="007E5090" w:rsidRPr="001E6AFD" w:rsidRDefault="007E5090" w:rsidP="006641B6">
      <w:pPr>
        <w:pStyle w:val="ListParagraph"/>
        <w:numPr>
          <w:ilvl w:val="0"/>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Out-of-field teacher</w:t>
      </w:r>
      <w:r w:rsidRPr="001E6AFD">
        <w:rPr>
          <w:rFonts w:ascii="Calibri" w:eastAsia="MS Mincho" w:hAnsi="Calibri" w:cs="Calibri"/>
          <w:color w:val="000000"/>
          <w:szCs w:val="24"/>
        </w:rPr>
        <w:t xml:space="preserve"> - A teacher teaching in a subject area</w:t>
      </w:r>
      <w:r>
        <w:rPr>
          <w:rFonts w:ascii="Calibri" w:eastAsia="MS Mincho" w:hAnsi="Calibri" w:cs="Calibri"/>
          <w:color w:val="000000"/>
          <w:szCs w:val="24"/>
        </w:rPr>
        <w:t xml:space="preserve"> in which the teacher does not hold an Alaska endorsement.  This updates the definition from “not highly qualified.” An endorsement can be added with a passing score on a content exam and two years of experience</w:t>
      </w:r>
      <w:r w:rsidR="005017F4">
        <w:rPr>
          <w:rFonts w:ascii="Calibri" w:eastAsia="MS Mincho" w:hAnsi="Calibri" w:cs="Calibri"/>
          <w:color w:val="000000"/>
          <w:szCs w:val="24"/>
        </w:rPr>
        <w:t>.</w:t>
      </w:r>
    </w:p>
    <w:p w14:paraId="474D27D9" w14:textId="77777777" w:rsidR="007E5090" w:rsidRPr="001E6AFD" w:rsidRDefault="007E5090" w:rsidP="006641B6">
      <w:pPr>
        <w:pStyle w:val="ListParagraph"/>
        <w:numPr>
          <w:ilvl w:val="0"/>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Ineffective Teacher</w:t>
      </w:r>
      <w:r w:rsidRPr="001E6AFD">
        <w:rPr>
          <w:rFonts w:ascii="Calibri" w:eastAsia="MS Mincho" w:hAnsi="Calibri" w:cs="Calibri"/>
          <w:color w:val="000000"/>
          <w:szCs w:val="24"/>
        </w:rPr>
        <w:t xml:space="preserve"> – </w:t>
      </w:r>
    </w:p>
    <w:p w14:paraId="75FE7DFB" w14:textId="77777777" w:rsidR="007E5090" w:rsidRPr="001E6AFD" w:rsidRDefault="007E5090" w:rsidP="006641B6">
      <w:pPr>
        <w:pStyle w:val="ListParagraph"/>
        <w:numPr>
          <w:ilvl w:val="1"/>
          <w:numId w:val="42"/>
        </w:num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t>A</w:t>
      </w:r>
      <w:r>
        <w:rPr>
          <w:rFonts w:ascii="Calibri" w:eastAsia="MS Mincho" w:hAnsi="Calibri" w:cs="Calibri"/>
          <w:color w:val="000000"/>
          <w:szCs w:val="24"/>
        </w:rPr>
        <w:t>ny</w:t>
      </w:r>
      <w:r w:rsidRPr="001E6AFD">
        <w:rPr>
          <w:rFonts w:ascii="Calibri" w:eastAsia="MS Mincho" w:hAnsi="Calibri" w:cs="Calibri"/>
          <w:color w:val="000000"/>
          <w:szCs w:val="24"/>
        </w:rPr>
        <w:t xml:space="preserve"> teacher who was on a plan of improvement under </w:t>
      </w:r>
      <w:r>
        <w:rPr>
          <w:rFonts w:ascii="Calibri" w:eastAsia="MS Mincho" w:hAnsi="Calibri" w:cs="Calibri"/>
          <w:color w:val="000000"/>
          <w:szCs w:val="24"/>
        </w:rPr>
        <w:t>4 AAC 19.010(g)</w:t>
      </w:r>
      <w:r w:rsidRPr="001E6AFD">
        <w:rPr>
          <w:rFonts w:ascii="Calibri" w:eastAsia="MS Mincho" w:hAnsi="Calibri" w:cs="Calibri"/>
          <w:color w:val="000000"/>
          <w:szCs w:val="24"/>
        </w:rPr>
        <w:t>,  or was notified that their continued employment in the district was contingent on the implementation of a plan of improvement</w:t>
      </w:r>
      <w:r>
        <w:rPr>
          <w:rFonts w:ascii="Calibri" w:eastAsia="MS Mincho" w:hAnsi="Calibri" w:cs="Calibri"/>
          <w:color w:val="000000"/>
          <w:szCs w:val="24"/>
        </w:rPr>
        <w:t xml:space="preserve"> and resigned, </w:t>
      </w:r>
      <w:r w:rsidRPr="001E6AFD">
        <w:rPr>
          <w:rFonts w:ascii="Calibri" w:eastAsia="MS Mincho" w:hAnsi="Calibri" w:cs="Calibri"/>
          <w:color w:val="000000"/>
          <w:szCs w:val="24"/>
        </w:rPr>
        <w:t xml:space="preserve">or  </w:t>
      </w:r>
    </w:p>
    <w:p w14:paraId="3F33F155" w14:textId="2F9E4944" w:rsidR="007E5090" w:rsidRPr="001E6AFD" w:rsidRDefault="007E5090" w:rsidP="006641B6">
      <w:pPr>
        <w:pStyle w:val="ListParagraph"/>
        <w:numPr>
          <w:ilvl w:val="1"/>
          <w:numId w:val="42"/>
        </w:numPr>
        <w:autoSpaceDE w:val="0"/>
        <w:autoSpaceDN w:val="0"/>
        <w:adjustRightInd w:val="0"/>
        <w:ind w:left="1417"/>
        <w:rPr>
          <w:rFonts w:ascii="Calibri" w:eastAsia="MS Mincho" w:hAnsi="Calibri" w:cs="Calibri"/>
          <w:color w:val="000000"/>
          <w:szCs w:val="24"/>
        </w:rPr>
      </w:pPr>
      <w:r w:rsidRPr="00BC64BB">
        <w:rPr>
          <w:rFonts w:ascii="Calibri" w:eastAsia="MS Mincho" w:hAnsi="Calibri" w:cs="Calibri"/>
          <w:color w:val="000000"/>
          <w:szCs w:val="24"/>
        </w:rPr>
        <w:t>A te</w:t>
      </w:r>
      <w:r w:rsidRPr="00094333">
        <w:rPr>
          <w:rFonts w:ascii="Calibri" w:eastAsia="MS Mincho" w:hAnsi="Calibri" w:cs="Calibri"/>
          <w:color w:val="000000"/>
          <w:szCs w:val="24"/>
        </w:rPr>
        <w:t xml:space="preserve">nured teacher who was receiving district support under 4 AAC 19.010(h). </w:t>
      </w:r>
    </w:p>
    <w:p w14:paraId="46BE1A21" w14:textId="707185D1" w:rsidR="007E5090" w:rsidRPr="00094333" w:rsidRDefault="007E5090" w:rsidP="00094333">
      <w:pPr>
        <w:autoSpaceDE w:val="0"/>
        <w:autoSpaceDN w:val="0"/>
        <w:adjustRightInd w:val="0"/>
        <w:ind w:left="360"/>
        <w:rPr>
          <w:rFonts w:ascii="Calibri" w:eastAsia="MS Mincho" w:hAnsi="Calibri" w:cs="Calibri"/>
          <w:b/>
          <w:color w:val="000000"/>
        </w:rPr>
      </w:pPr>
      <w:r w:rsidRPr="00BC64BB">
        <w:rPr>
          <w:rFonts w:ascii="Calibri" w:eastAsia="MS Mincho" w:hAnsi="Calibri" w:cs="Calibri"/>
          <w:color w:val="000000"/>
        </w:rPr>
        <w:t>An i</w:t>
      </w:r>
      <w:r w:rsidRPr="00094333">
        <w:rPr>
          <w:rFonts w:ascii="Calibri" w:eastAsia="MS Mincho" w:hAnsi="Calibri" w:cs="Calibri"/>
          <w:color w:val="000000"/>
        </w:rPr>
        <w:t xml:space="preserve">mprovement plan is required when a teacher is determined to be unsatisfactory on one or more of the Alaska Teacher Standards through the district’s educator evaluation and support system. </w:t>
      </w:r>
      <w:r w:rsidR="00080D72" w:rsidRPr="006C519F">
        <w:rPr>
          <w:rFonts w:ascii="Calibri" w:eastAsia="MS Mincho" w:hAnsi="Calibri" w:cs="Calibri"/>
        </w:rPr>
        <w:t>District support</w:t>
      </w:r>
      <w:r w:rsidR="00080D72">
        <w:rPr>
          <w:rFonts w:ascii="Calibri" w:eastAsia="MS Mincho" w:hAnsi="Calibri" w:cs="Calibri"/>
          <w:color w:val="000000"/>
        </w:rPr>
        <w:t xml:space="preserve"> </w:t>
      </w:r>
      <w:r w:rsidRPr="00094333">
        <w:rPr>
          <w:rFonts w:ascii="Calibri" w:eastAsia="MS Mincho" w:hAnsi="Calibri" w:cs="Calibri"/>
          <w:color w:val="000000"/>
        </w:rPr>
        <w:t>is required when a teacher is determined to be basic on two or more of the Alaska Teacher Standards through the district’s educator evaluation and support system.</w:t>
      </w:r>
    </w:p>
    <w:p w14:paraId="5C907E56" w14:textId="77777777" w:rsidR="007E5090" w:rsidRPr="00BB3359" w:rsidRDefault="007E5090" w:rsidP="00A92E69">
      <w:r w:rsidRPr="00BB3359">
        <w:t>Th</w:t>
      </w:r>
      <w:r>
        <w:t>e definition of an</w:t>
      </w:r>
      <w:r w:rsidRPr="00BB3359">
        <w:t xml:space="preserve"> </w:t>
      </w:r>
      <w:r>
        <w:t xml:space="preserve">ineffective teacher </w:t>
      </w:r>
      <w:r w:rsidRPr="00BB3359">
        <w:t xml:space="preserve">refers exclusively to required </w:t>
      </w:r>
      <w:r>
        <w:t>l</w:t>
      </w:r>
      <w:r w:rsidRPr="00BB3359">
        <w:t xml:space="preserve">evels of </w:t>
      </w:r>
      <w:r>
        <w:t>s</w:t>
      </w:r>
      <w:r w:rsidRPr="00BB3359">
        <w:t xml:space="preserve">upport that are the result of the district’s educator evaluation and support system as outlined in </w:t>
      </w:r>
      <w:r>
        <w:t>e</w:t>
      </w:r>
      <w:r w:rsidRPr="00BB3359">
        <w:t>mployee evaluation</w:t>
      </w:r>
      <w:r>
        <w:t xml:space="preserve"> (AS 14.20.149) </w:t>
      </w:r>
      <w:r w:rsidRPr="00BB3359">
        <w:t xml:space="preserve"> and </w:t>
      </w:r>
      <w:r>
        <w:t>p</w:t>
      </w:r>
      <w:r w:rsidRPr="00BB3359">
        <w:t>urpose and scope of evaluation</w:t>
      </w:r>
      <w:r>
        <w:t xml:space="preserve"> (4 AAC 19.010)</w:t>
      </w:r>
      <w:r w:rsidRPr="00BB3359">
        <w:t xml:space="preserve">. For example: A voluntary plan of </w:t>
      </w:r>
      <w:r w:rsidRPr="00BB3359">
        <w:lastRenderedPageBreak/>
        <w:t>professional growth (e.g. changing of grade levels) would not be used to determine the reported level of support.</w:t>
      </w:r>
    </w:p>
    <w:p w14:paraId="2482D0B0" w14:textId="77777777" w:rsidR="007E5090" w:rsidRPr="00DF6724" w:rsidRDefault="007E5090" w:rsidP="004F2063">
      <w:pPr>
        <w:rPr>
          <w:b/>
        </w:rPr>
      </w:pPr>
      <w:r w:rsidRPr="00DF6724">
        <w:rPr>
          <w:b/>
        </w:rPr>
        <w:t xml:space="preserve">Purposes of Alaska’s Educator Evaluation and Support </w:t>
      </w:r>
      <w:r>
        <w:rPr>
          <w:b/>
        </w:rPr>
        <w:t>S</w:t>
      </w:r>
      <w:r w:rsidRPr="00DF6724">
        <w:rPr>
          <w:b/>
        </w:rPr>
        <w:t>ystems</w:t>
      </w:r>
    </w:p>
    <w:p w14:paraId="498CB253" w14:textId="77777777" w:rsidR="007E5090" w:rsidRPr="00DF6724" w:rsidRDefault="007E5090" w:rsidP="004F2063">
      <w:r>
        <w:rPr>
          <w:noProof/>
        </w:rPr>
        <w:drawing>
          <wp:inline distT="0" distB="0" distL="0" distR="0" wp14:anchorId="7E4FA8E2" wp14:editId="72A50F6E">
            <wp:extent cx="3000375" cy="1750695"/>
            <wp:effectExtent l="0" t="0" r="9525" b="1905"/>
            <wp:docPr id="11" name="Diagram 11" descr="Graphic desplaying the three purposes of Alaska's Educator Evaluation System&#10;&#10;Help Alaska educators grow professionally&#10;Improve the effectiveness of instruction&#10;Future employment of the educator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5A1F172" w14:textId="77777777" w:rsidR="007E5090" w:rsidRDefault="007E5090" w:rsidP="00561022">
      <w:pPr>
        <w:pStyle w:val="ListParagraph"/>
        <w:ind w:left="0"/>
        <w:rPr>
          <w:rFonts w:cs="Cambria"/>
        </w:rPr>
      </w:pPr>
      <w:r w:rsidRPr="00BB3359">
        <w:rPr>
          <w:rFonts w:ascii="Calibri" w:eastAsia="MS Mincho" w:hAnsi="Calibri" w:cs="Calibri"/>
          <w:color w:val="000000"/>
        </w:rPr>
        <w:t xml:space="preserve">All districts are encouraged to use plans of professional growth to help all educators grow professionally and improve the effectiveness of instruction. </w:t>
      </w:r>
      <w:r w:rsidRPr="008B3D35">
        <w:t xml:space="preserve">The majority of Alaska’s districts have chosen to adopt one of the three </w:t>
      </w:r>
      <w:r>
        <w:t>state-</w:t>
      </w:r>
      <w:r w:rsidRPr="008B3D35">
        <w:t xml:space="preserve">approved evaluation frameworks (Danielson, </w:t>
      </w:r>
      <w:proofErr w:type="spellStart"/>
      <w:r w:rsidRPr="008B3D35">
        <w:t>Marzano</w:t>
      </w:r>
      <w:proofErr w:type="spellEnd"/>
      <w:r w:rsidRPr="008B3D35">
        <w:t xml:space="preserve"> or CEL 5D+).  These three frameworks have been aligned to the Alaska Teacher Standards.  All districts (including those that created their own evaluation systems) have had to demonstrate that their educator evaluation and support systems are aligned to the Alaska Teacher Standards</w:t>
      </w:r>
      <w:r>
        <w:t xml:space="preserve">.  </w:t>
      </w:r>
      <w:r w:rsidRPr="008B3D35">
        <w:rPr>
          <w:rFonts w:cs="Cambria"/>
        </w:rPr>
        <w:t xml:space="preserve">Alaska regulations </w:t>
      </w:r>
      <w:r>
        <w:rPr>
          <w:rFonts w:cs="Cambria"/>
        </w:rPr>
        <w:t xml:space="preserve">for educator evaluations </w:t>
      </w:r>
      <w:r w:rsidRPr="008B3D35">
        <w:rPr>
          <w:rFonts w:cs="Cambria"/>
        </w:rPr>
        <w:t xml:space="preserve">do not require </w:t>
      </w:r>
      <w:r>
        <w:rPr>
          <w:rFonts w:cs="Cambria"/>
        </w:rPr>
        <w:t xml:space="preserve">district </w:t>
      </w:r>
      <w:r w:rsidRPr="008B3D35">
        <w:rPr>
          <w:rFonts w:cs="Cambria"/>
        </w:rPr>
        <w:t xml:space="preserve">reporting </w:t>
      </w:r>
      <w:r>
        <w:rPr>
          <w:rFonts w:cs="Cambria"/>
        </w:rPr>
        <w:t xml:space="preserve">of </w:t>
      </w:r>
      <w:r w:rsidRPr="008B3D35">
        <w:rPr>
          <w:rFonts w:cs="Cambria"/>
        </w:rPr>
        <w:t>overall ratings</w:t>
      </w:r>
      <w:r>
        <w:rPr>
          <w:rFonts w:cs="Cambria"/>
        </w:rPr>
        <w:t xml:space="preserve"> or ratings</w:t>
      </w:r>
      <w:r w:rsidRPr="008B3D35">
        <w:rPr>
          <w:rFonts w:cs="Cambria"/>
        </w:rPr>
        <w:t xml:space="preserve"> for each of the Alaska Teach</w:t>
      </w:r>
      <w:r>
        <w:rPr>
          <w:rFonts w:cs="Cambria"/>
        </w:rPr>
        <w:t>er</w:t>
      </w:r>
      <w:r w:rsidRPr="008B3D35">
        <w:rPr>
          <w:rFonts w:cs="Cambria"/>
        </w:rPr>
        <w:t xml:space="preserve"> Standard</w:t>
      </w:r>
      <w:r>
        <w:rPr>
          <w:rFonts w:cs="Cambria"/>
        </w:rPr>
        <w:t>s</w:t>
      </w:r>
      <w:r w:rsidRPr="008B3D35">
        <w:rPr>
          <w:rFonts w:cs="Cambria"/>
        </w:rPr>
        <w:t xml:space="preserve"> or domains of a</w:t>
      </w:r>
      <w:r>
        <w:rPr>
          <w:rFonts w:cs="Cambria"/>
        </w:rPr>
        <w:t>n adopted framework.</w:t>
      </w:r>
    </w:p>
    <w:p w14:paraId="5E479505" w14:textId="77777777" w:rsidR="007E5090" w:rsidRPr="00734140" w:rsidRDefault="007E5090" w:rsidP="00561022">
      <w:pPr>
        <w:rPr>
          <w:b/>
        </w:rPr>
      </w:pPr>
      <w:r w:rsidRPr="00734140">
        <w:rPr>
          <w:b/>
        </w:rPr>
        <w:t>Context for Alaska’s Definitions</w:t>
      </w:r>
    </w:p>
    <w:p w14:paraId="001B1886" w14:textId="77777777" w:rsidR="007E5090" w:rsidRDefault="007E5090" w:rsidP="00561022">
      <w:r>
        <w:t xml:space="preserve">Alaska’s definitions of inexperienced teacher and out-of-field teacher were initially developed in 2015 through the development of the Alaska Equity Plan. Through extensive stakeholder feedback during 2016-2017, these definitions were reviewed and revised, and the definition of an ineffective teacher was developed. </w:t>
      </w:r>
      <w:r w:rsidRPr="008B3D35">
        <w:t>DEED leveraged various stakeholder groups described in Title II, Part A #5</w:t>
      </w:r>
      <w:r>
        <w:t xml:space="preserve">, as well as the ESSA Advisory Committee. </w:t>
      </w:r>
    </w:p>
    <w:p w14:paraId="511996AC" w14:textId="77777777" w:rsidR="007E5090" w:rsidRDefault="007E5090" w:rsidP="00A92E69">
      <w:r w:rsidRPr="008B3D35">
        <w:t>The</w:t>
      </w:r>
      <w:r>
        <w:t xml:space="preserve"> definition of</w:t>
      </w:r>
      <w:r w:rsidRPr="008B3D35">
        <w:t xml:space="preserve"> inexperienced </w:t>
      </w:r>
      <w:r>
        <w:t xml:space="preserve">teacher </w:t>
      </w:r>
      <w:r w:rsidRPr="008B3D35">
        <w:t>remains the same</w:t>
      </w:r>
      <w:r>
        <w:t>. This definition</w:t>
      </w:r>
      <w:r w:rsidRPr="008B3D35">
        <w:t xml:space="preserve"> was based in part on the Civil Rights Data Collection (CRDC) data </w:t>
      </w:r>
      <w:r>
        <w:t>provided</w:t>
      </w:r>
      <w:r w:rsidRPr="008B3D35">
        <w:t xml:space="preserve">. This definition is easy to understand and </w:t>
      </w:r>
      <w:r>
        <w:t xml:space="preserve">is </w:t>
      </w:r>
      <w:r w:rsidRPr="008B3D35">
        <w:t xml:space="preserve">familiar to </w:t>
      </w:r>
      <w:r>
        <w:t>Alaska’s</w:t>
      </w:r>
      <w:r w:rsidRPr="008B3D35">
        <w:t xml:space="preserve"> districts. Alaska </w:t>
      </w:r>
      <w:r>
        <w:t xml:space="preserve">has been </w:t>
      </w:r>
      <w:r w:rsidRPr="008B3D35">
        <w:t>collect</w:t>
      </w:r>
      <w:r>
        <w:t>ing</w:t>
      </w:r>
      <w:r w:rsidRPr="008B3D35">
        <w:t xml:space="preserve"> data</w:t>
      </w:r>
      <w:r>
        <w:t xml:space="preserve"> on inexperienced teachers</w:t>
      </w:r>
      <w:r w:rsidRPr="008B3D35">
        <w:t xml:space="preserve"> </w:t>
      </w:r>
      <w:r>
        <w:t>through the “new to the profession” data field in the annual DEED certified staff accounting data collection. This data has been collected and verified for multiple years which makes it a reliable data source. Also, stakeholders advised</w:t>
      </w:r>
      <w:r w:rsidRPr="008B3D35">
        <w:t xml:space="preserve"> keep</w:t>
      </w:r>
      <w:r>
        <w:t>ing</w:t>
      </w:r>
      <w:r w:rsidRPr="008B3D35">
        <w:t xml:space="preserve"> th</w:t>
      </w:r>
      <w:r>
        <w:t xml:space="preserve">e same </w:t>
      </w:r>
      <w:r w:rsidRPr="008B3D35">
        <w:t xml:space="preserve">definition to avoid increasing the burden on districts and the state by using existing data collection fields. </w:t>
      </w:r>
    </w:p>
    <w:p w14:paraId="2D2F396A" w14:textId="77777777" w:rsidR="007E5090" w:rsidRPr="008B3D35" w:rsidRDefault="007E5090" w:rsidP="00A92E69">
      <w:r>
        <w:t>Based on stakeholder feedback</w:t>
      </w:r>
      <w:r w:rsidRPr="008B3D35">
        <w:t>, “first year teacher” was added parenthetically for clarification</w:t>
      </w:r>
      <w:r>
        <w:t xml:space="preserve">, similar to the clarifications provided for </w:t>
      </w:r>
      <w:r w:rsidRPr="008B3D35">
        <w:t xml:space="preserve">the </w:t>
      </w:r>
      <w:r>
        <w:t xml:space="preserve">definitions of </w:t>
      </w:r>
      <w:r w:rsidRPr="008B3D35">
        <w:t xml:space="preserve">economically disadvantaged </w:t>
      </w:r>
      <w:r>
        <w:t xml:space="preserve">students </w:t>
      </w:r>
      <w:r w:rsidRPr="008B3D35">
        <w:t xml:space="preserve">and students of color. There was some stakeholder feedback requesting </w:t>
      </w:r>
      <w:r>
        <w:t xml:space="preserve">a </w:t>
      </w:r>
      <w:r w:rsidRPr="008B3D35">
        <w:t xml:space="preserve">longer period of time due to a concern that if a teacher </w:t>
      </w:r>
      <w:r>
        <w:t>does</w:t>
      </w:r>
      <w:r w:rsidRPr="008B3D35">
        <w:t xml:space="preserve"> not</w:t>
      </w:r>
      <w:r>
        <w:t xml:space="preserve"> meet the definition of</w:t>
      </w:r>
      <w:r w:rsidRPr="008B3D35">
        <w:t xml:space="preserve"> inexperienced (e.g., if a teacher has taught for more than one year) then </w:t>
      </w:r>
      <w:r>
        <w:t>he or she</w:t>
      </w:r>
      <w:r w:rsidRPr="008B3D35">
        <w:t xml:space="preserve"> would be considered </w:t>
      </w:r>
      <w:r>
        <w:t xml:space="preserve">to be </w:t>
      </w:r>
      <w:r w:rsidRPr="008B3D35">
        <w:t>experienced.  DEED understands that research suggest</w:t>
      </w:r>
      <w:r>
        <w:t>s</w:t>
      </w:r>
      <w:r w:rsidRPr="008B3D35">
        <w:t xml:space="preserve"> that teachers generally continue to increase their effectiveness in the first few years of teaching.</w:t>
      </w:r>
    </w:p>
    <w:p w14:paraId="144B0FA6" w14:textId="77777777" w:rsidR="007E5090" w:rsidRDefault="007E5090" w:rsidP="00A92E69">
      <w:r w:rsidRPr="008B3D35">
        <w:lastRenderedPageBreak/>
        <w:t>The</w:t>
      </w:r>
      <w:r>
        <w:t xml:space="preserve"> definition of an</w:t>
      </w:r>
      <w:r w:rsidRPr="008B3D35">
        <w:t xml:space="preserve"> </w:t>
      </w:r>
      <w:r>
        <w:t>out-of-field</w:t>
      </w:r>
      <w:r w:rsidRPr="008B3D35">
        <w:t xml:space="preserve"> </w:t>
      </w:r>
      <w:r>
        <w:t>teacher was updated from “not highly qualified” to not holding an endorsement in the assigned subject area. The</w:t>
      </w:r>
      <w:r w:rsidRPr="008B3D35">
        <w:t xml:space="preserve"> </w:t>
      </w:r>
      <w:r>
        <w:t>update was well received by stakeholders. Districts had been requesting a change to use the broader subject areas especially in the sciences and social studies. DEED will reduce the data burden on districts by having the data analysis done at the state level by matching teacher certification and certified staff accounting data collections.</w:t>
      </w:r>
    </w:p>
    <w:p w14:paraId="16517092" w14:textId="77777777" w:rsidR="007E5090" w:rsidRDefault="007E5090" w:rsidP="00A92E69">
      <w:r>
        <w:t xml:space="preserve">Alaska is being proactive by recognizing teachers’ efforts to become highly qualified. Many of the teachers will be able to apply for an endorsement in a content area with two years of experience in the content area in which they were highly qualified. Stakeholders remain concerned that in Alaska’s one or two teacher schools it is very difficult if not impossible to find a teacher endorsed in multiple content areas at the secondary level. Moving forward, teachers will be able to obtain an endorsement in a content area by passing a state-approved content area exam and completing two years of teaching experience in that content area. </w:t>
      </w:r>
    </w:p>
    <w:p w14:paraId="516869AC" w14:textId="77777777" w:rsidR="007E5090" w:rsidRDefault="007E5090" w:rsidP="00A92E69">
      <w:r>
        <w:t xml:space="preserve">The definition of ineffective teacher generated the most stakeholder feedback as it was a new definition. In </w:t>
      </w:r>
      <w:r w:rsidRPr="008B3D35">
        <w:t>the fall, DEED started sharing the initial state</w:t>
      </w:r>
      <w:r>
        <w:t>-</w:t>
      </w:r>
      <w:r w:rsidRPr="008B3D35">
        <w:t xml:space="preserve">proposed definitions with </w:t>
      </w:r>
      <w:r>
        <w:t>the</w:t>
      </w:r>
      <w:r w:rsidRPr="008B3D35">
        <w:t xml:space="preserve"> Educator Evaluation and Support Advisory Committee. The initial reaction was interest in a tiered definition that differentiated between tenured and non-tenured teachers. </w:t>
      </w:r>
      <w:r>
        <w:t>Over</w:t>
      </w:r>
      <w:r w:rsidRPr="008B3D35">
        <w:t xml:space="preserve"> the winter, </w:t>
      </w:r>
      <w:r>
        <w:t>various</w:t>
      </w:r>
      <w:r w:rsidRPr="008B3D35">
        <w:t xml:space="preserve"> </w:t>
      </w:r>
      <w:r>
        <w:t xml:space="preserve">draft </w:t>
      </w:r>
      <w:r w:rsidRPr="008B3D35">
        <w:t xml:space="preserve">definitions were provided </w:t>
      </w:r>
      <w:r>
        <w:t>to all districts for feedback.  O</w:t>
      </w:r>
      <w:r w:rsidRPr="008B3D35">
        <w:t>verwhelming</w:t>
      </w:r>
      <w:r>
        <w:t>ly,</w:t>
      </w:r>
      <w:r w:rsidRPr="008B3D35">
        <w:t xml:space="preserve"> </w:t>
      </w:r>
      <w:r>
        <w:t xml:space="preserve">district </w:t>
      </w:r>
      <w:r w:rsidRPr="008B3D35">
        <w:t xml:space="preserve">stakeholder </w:t>
      </w:r>
      <w:r>
        <w:t xml:space="preserve">feedback </w:t>
      </w:r>
      <w:r w:rsidRPr="008B3D35">
        <w:t>support</w:t>
      </w:r>
      <w:r>
        <w:t>ed</w:t>
      </w:r>
      <w:r w:rsidRPr="008B3D35">
        <w:t xml:space="preserve"> </w:t>
      </w:r>
      <w:r>
        <w:t>definitions based on e</w:t>
      </w:r>
      <w:r w:rsidRPr="008B3D35">
        <w:t xml:space="preserve">ducator </w:t>
      </w:r>
      <w:r>
        <w:t>e</w:t>
      </w:r>
      <w:r w:rsidRPr="008B3D35">
        <w:t xml:space="preserve">valuation and </w:t>
      </w:r>
      <w:r>
        <w:t>s</w:t>
      </w:r>
      <w:r w:rsidRPr="008B3D35">
        <w:t xml:space="preserve">upport </w:t>
      </w:r>
      <w:r>
        <w:t xml:space="preserve">system </w:t>
      </w:r>
      <w:r w:rsidRPr="008B3D35">
        <w:t>data.</w:t>
      </w:r>
      <w:r>
        <w:t xml:space="preserve"> With only one year of collection of district level data, it is too early to have a strong degree of confidence in the data. Also, it is yet to be determined if data collected at the school level can provide the necessary distinctions in teacher effectiveness. If issues arise with data quality or the ability to differentiate, DEED will collaborate with districts to understand the causes of the issues and to address them.</w:t>
      </w:r>
    </w:p>
    <w:p w14:paraId="0C18CA8D" w14:textId="77777777" w:rsidR="007E5090" w:rsidRDefault="007E5090" w:rsidP="00561022">
      <w:pPr>
        <w:autoSpaceDE w:val="0"/>
        <w:autoSpaceDN w:val="0"/>
        <w:adjustRightInd w:val="0"/>
        <w:rPr>
          <w:rFonts w:eastAsia="MS Mincho" w:cs="Calibri"/>
          <w:b/>
          <w:color w:val="000000"/>
        </w:rPr>
      </w:pPr>
      <w:r w:rsidRPr="00052B54">
        <w:rPr>
          <w:rFonts w:eastAsia="MS Mincho" w:cs="Calibri"/>
          <w:b/>
          <w:color w:val="000000"/>
        </w:rPr>
        <w:t xml:space="preserve">Current </w:t>
      </w:r>
      <w:r>
        <w:rPr>
          <w:rFonts w:eastAsia="MS Mincho" w:cs="Calibri"/>
          <w:b/>
          <w:color w:val="000000"/>
        </w:rPr>
        <w:t>C</w:t>
      </w:r>
      <w:r w:rsidRPr="00052B54">
        <w:rPr>
          <w:rFonts w:eastAsia="MS Mincho" w:cs="Calibri"/>
          <w:b/>
          <w:color w:val="000000"/>
        </w:rPr>
        <w:t>ontext</w:t>
      </w:r>
    </w:p>
    <w:p w14:paraId="2E1F3B0C" w14:textId="664AC796" w:rsidR="007E5090" w:rsidRPr="001E6AFD" w:rsidRDefault="007E5090" w:rsidP="00561022">
      <w:pPr>
        <w:autoSpaceDE w:val="0"/>
        <w:autoSpaceDN w:val="0"/>
        <w:adjustRightInd w:val="0"/>
        <w:rPr>
          <w:rFonts w:ascii="Calibri" w:eastAsia="MS Mincho" w:hAnsi="Calibri" w:cs="Calibri"/>
          <w:color w:val="000000"/>
          <w:szCs w:val="24"/>
        </w:rPr>
      </w:pPr>
      <w:r>
        <w:rPr>
          <w:rFonts w:cs="Times New Roman"/>
        </w:rPr>
        <w:t xml:space="preserve">In 2015, DEED </w:t>
      </w:r>
      <w:r w:rsidRPr="006804D1">
        <w:rPr>
          <w:rFonts w:cs="Times New Roman"/>
        </w:rPr>
        <w:t>develop</w:t>
      </w:r>
      <w:r>
        <w:rPr>
          <w:rFonts w:cs="Times New Roman"/>
        </w:rPr>
        <w:t>ed</w:t>
      </w:r>
      <w:r w:rsidRPr="006804D1">
        <w:rPr>
          <w:rFonts w:cs="Times New Roman"/>
        </w:rPr>
        <w:t xml:space="preserve"> </w:t>
      </w:r>
      <w:r>
        <w:rPr>
          <w:rFonts w:cs="Times New Roman"/>
        </w:rPr>
        <w:t xml:space="preserve">the </w:t>
      </w:r>
      <w:hyperlink r:id="rId34" w:history="1">
        <w:r w:rsidR="00080D72" w:rsidRPr="00A6210A">
          <w:rPr>
            <w:rStyle w:val="Hyperlink"/>
            <w:i/>
            <w:shd w:val="clear" w:color="auto" w:fill="FFFFFF"/>
          </w:rPr>
          <w:t>Equitable Access to Excellent Educators Plan for Alaska (Alaska Equity Plan)</w:t>
        </w:r>
      </w:hyperlink>
      <w:r w:rsidR="00080D72">
        <w:rPr>
          <w:rStyle w:val="Hyperlink"/>
          <w:i/>
          <w:shd w:val="clear" w:color="auto" w:fill="FFFFFF"/>
        </w:rPr>
        <w:t xml:space="preserve"> </w:t>
      </w:r>
      <w:r w:rsidR="00080D72" w:rsidRPr="00080D72">
        <w:rPr>
          <w:rStyle w:val="Hyperlink"/>
          <w:color w:val="auto"/>
          <w:u w:val="none"/>
          <w:shd w:val="clear" w:color="auto" w:fill="FFFFFF"/>
        </w:rPr>
        <w:t>(</w:t>
      </w:r>
      <w:r w:rsidR="00080D72" w:rsidRPr="00080D72">
        <w:rPr>
          <w:rFonts w:ascii="Calibri" w:eastAsia="MS Mincho" w:hAnsi="Calibri" w:cs="Calibri"/>
          <w:szCs w:val="24"/>
        </w:rPr>
        <w:t>education.alaska.gov/</w:t>
      </w:r>
      <w:proofErr w:type="spellStart"/>
      <w:r w:rsidR="00080D72" w:rsidRPr="00080D72">
        <w:rPr>
          <w:rFonts w:ascii="Calibri" w:eastAsia="MS Mincho" w:hAnsi="Calibri" w:cs="Calibri"/>
          <w:szCs w:val="24"/>
        </w:rPr>
        <w:t>TeacherCertification</w:t>
      </w:r>
      <w:proofErr w:type="spellEnd"/>
      <w:r w:rsidR="00080D72" w:rsidRPr="00080D72">
        <w:rPr>
          <w:rFonts w:ascii="Calibri" w:eastAsia="MS Mincho" w:hAnsi="Calibri" w:cs="Calibri"/>
          <w:szCs w:val="24"/>
        </w:rPr>
        <w:t>/aep.html</w:t>
      </w:r>
      <w:r w:rsidR="00080D72" w:rsidRPr="00080D72">
        <w:rPr>
          <w:rStyle w:val="Hyperlink"/>
          <w:rFonts w:ascii="Calibri" w:eastAsia="MS Mincho" w:hAnsi="Calibri" w:cs="Calibri"/>
          <w:color w:val="auto"/>
          <w:szCs w:val="24"/>
          <w:u w:val="none"/>
        </w:rPr>
        <w:t>)</w:t>
      </w:r>
      <w:r>
        <w:rPr>
          <w:rStyle w:val="Strong"/>
          <w:b w:val="0"/>
          <w:i/>
          <w:color w:val="333333"/>
          <w:shd w:val="clear" w:color="auto" w:fill="FFFFFF"/>
        </w:rPr>
        <w:t xml:space="preserve"> </w:t>
      </w:r>
      <w:r w:rsidRPr="00B42FAA">
        <w:rPr>
          <w:rFonts w:eastAsia="MS Mincho" w:cs="Calibri"/>
          <w:color w:val="000000"/>
        </w:rPr>
        <w:t xml:space="preserve">The following </w:t>
      </w:r>
      <w:r>
        <w:rPr>
          <w:rFonts w:eastAsia="MS Mincho" w:cs="Calibri"/>
          <w:color w:val="000000"/>
        </w:rPr>
        <w:t>data from that plan</w:t>
      </w:r>
      <w:r w:rsidRPr="00B42FAA">
        <w:rPr>
          <w:rFonts w:eastAsia="MS Mincho" w:cs="Calibri"/>
          <w:color w:val="000000"/>
        </w:rPr>
        <w:t xml:space="preserve"> paint a picture of Alaska’s </w:t>
      </w:r>
      <w:r>
        <w:rPr>
          <w:rFonts w:eastAsia="MS Mincho" w:cs="Calibri"/>
          <w:color w:val="000000"/>
        </w:rPr>
        <w:t>d</w:t>
      </w:r>
      <w:r w:rsidRPr="00B42FAA">
        <w:rPr>
          <w:rFonts w:eastAsia="MS Mincho" w:cs="Calibri"/>
          <w:color w:val="000000"/>
        </w:rPr>
        <w:t xml:space="preserve">isproportionate </w:t>
      </w:r>
      <w:r>
        <w:rPr>
          <w:rFonts w:eastAsia="MS Mincho" w:cs="Calibri"/>
          <w:color w:val="000000"/>
        </w:rPr>
        <w:t>r</w:t>
      </w:r>
      <w:r w:rsidRPr="00B42FAA">
        <w:rPr>
          <w:rFonts w:eastAsia="MS Mincho" w:cs="Calibri"/>
          <w:color w:val="000000"/>
        </w:rPr>
        <w:t xml:space="preserve">ates of </w:t>
      </w:r>
      <w:r>
        <w:rPr>
          <w:rFonts w:eastAsia="MS Mincho" w:cs="Calibri"/>
          <w:color w:val="000000"/>
        </w:rPr>
        <w:t>a</w:t>
      </w:r>
      <w:r w:rsidRPr="00B42FAA">
        <w:rPr>
          <w:rFonts w:eastAsia="MS Mincho" w:cs="Calibri"/>
          <w:color w:val="000000"/>
        </w:rPr>
        <w:t xml:space="preserve">ccess to </w:t>
      </w:r>
      <w:r>
        <w:rPr>
          <w:rFonts w:eastAsia="MS Mincho" w:cs="Calibri"/>
          <w:color w:val="000000"/>
        </w:rPr>
        <w:t>e</w:t>
      </w:r>
      <w:r w:rsidRPr="00B42FAA">
        <w:rPr>
          <w:rFonts w:eastAsia="MS Mincho" w:cs="Calibri"/>
          <w:color w:val="000000"/>
        </w:rPr>
        <w:t xml:space="preserve">ducators for low-income and minority children: </w:t>
      </w:r>
    </w:p>
    <w:p w14:paraId="7F28FB32" w14:textId="77777777" w:rsidR="007E5090" w:rsidRPr="001E6AFD" w:rsidRDefault="007E5090" w:rsidP="006641B6">
      <w:pPr>
        <w:pStyle w:val="ListParagraph"/>
        <w:numPr>
          <w:ilvl w:val="0"/>
          <w:numId w:val="4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Economically Disadvantaged (Low</w:t>
      </w:r>
      <w:r>
        <w:rPr>
          <w:rFonts w:ascii="Calibri" w:eastAsia="MS Mincho" w:hAnsi="Calibri" w:cs="Calibri"/>
          <w:b/>
          <w:bCs/>
          <w:color w:val="000000"/>
          <w:szCs w:val="24"/>
        </w:rPr>
        <w:t>-</w:t>
      </w:r>
      <w:r w:rsidRPr="001E6AFD">
        <w:rPr>
          <w:rFonts w:ascii="Calibri" w:eastAsia="MS Mincho" w:hAnsi="Calibri" w:cs="Calibri"/>
          <w:b/>
          <w:bCs/>
          <w:color w:val="000000"/>
          <w:szCs w:val="24"/>
        </w:rPr>
        <w:t>Income) Students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1.8 times more likely to be placed with first</w:t>
      </w:r>
      <w:r>
        <w:rPr>
          <w:rFonts w:ascii="Calibri" w:eastAsia="MS Mincho" w:hAnsi="Calibri" w:cs="Calibri"/>
          <w:i/>
          <w:iCs/>
          <w:color w:val="000000"/>
          <w:szCs w:val="24"/>
        </w:rPr>
        <w:t>-</w:t>
      </w:r>
      <w:r w:rsidRPr="001E6AFD">
        <w:rPr>
          <w:rFonts w:ascii="Calibri" w:eastAsia="MS Mincho" w:hAnsi="Calibri" w:cs="Calibri"/>
          <w:i/>
          <w:iCs/>
          <w:color w:val="000000"/>
          <w:szCs w:val="24"/>
        </w:rPr>
        <w:t>year teachers</w:t>
      </w:r>
    </w:p>
    <w:p w14:paraId="6239A413" w14:textId="77777777" w:rsidR="007E5090" w:rsidRPr="001E6AFD" w:rsidRDefault="007E5090" w:rsidP="006641B6">
      <w:pPr>
        <w:pStyle w:val="ListParagraph"/>
        <w:numPr>
          <w:ilvl w:val="0"/>
          <w:numId w:val="4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Students of Color (Minority)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Two times more likely to be placed with first</w:t>
      </w:r>
      <w:r>
        <w:rPr>
          <w:rFonts w:ascii="Calibri" w:eastAsia="MS Mincho" w:hAnsi="Calibri" w:cs="Calibri"/>
          <w:i/>
          <w:iCs/>
          <w:color w:val="000000"/>
          <w:szCs w:val="24"/>
        </w:rPr>
        <w:t>-</w:t>
      </w:r>
      <w:r w:rsidRPr="001E6AFD">
        <w:rPr>
          <w:rFonts w:ascii="Calibri" w:eastAsia="MS Mincho" w:hAnsi="Calibri" w:cs="Calibri"/>
          <w:i/>
          <w:iCs/>
          <w:color w:val="000000"/>
          <w:szCs w:val="24"/>
        </w:rPr>
        <w:t>year teachers</w:t>
      </w:r>
    </w:p>
    <w:p w14:paraId="585850EE" w14:textId="77777777" w:rsidR="007E5090" w:rsidRPr="001E6AFD" w:rsidRDefault="007E5090" w:rsidP="006641B6">
      <w:pPr>
        <w:pStyle w:val="ListParagraph"/>
        <w:numPr>
          <w:ilvl w:val="0"/>
          <w:numId w:val="4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Economically Disadvantaged (Low</w:t>
      </w:r>
      <w:r>
        <w:rPr>
          <w:rFonts w:ascii="Calibri" w:eastAsia="MS Mincho" w:hAnsi="Calibri" w:cs="Calibri"/>
          <w:b/>
          <w:bCs/>
          <w:color w:val="000000"/>
          <w:szCs w:val="24"/>
        </w:rPr>
        <w:t>-</w:t>
      </w:r>
      <w:r w:rsidRPr="001E6AFD">
        <w:rPr>
          <w:rFonts w:ascii="Calibri" w:eastAsia="MS Mincho" w:hAnsi="Calibri" w:cs="Calibri"/>
          <w:b/>
          <w:bCs/>
          <w:color w:val="000000"/>
          <w:szCs w:val="24"/>
        </w:rPr>
        <w:t>Income) Students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Almost twice as likely to be taught a core content course by a teacher who is not highly qualified</w:t>
      </w:r>
    </w:p>
    <w:p w14:paraId="4F25A71B" w14:textId="77777777" w:rsidR="007E5090" w:rsidRPr="006F1BA2" w:rsidRDefault="007E5090" w:rsidP="006641B6">
      <w:pPr>
        <w:pStyle w:val="ListParagraph"/>
        <w:numPr>
          <w:ilvl w:val="0"/>
          <w:numId w:val="4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Students of Color (Minority) are</w:t>
      </w:r>
    </w:p>
    <w:p w14:paraId="72889F2E" w14:textId="77777777" w:rsidR="007E5090" w:rsidRPr="006F1BA2" w:rsidRDefault="007E5090" w:rsidP="00561022">
      <w:pPr>
        <w:pStyle w:val="ListParagraph"/>
        <w:autoSpaceDE w:val="0"/>
        <w:autoSpaceDN w:val="0"/>
        <w:adjustRightInd w:val="0"/>
        <w:spacing w:after="160"/>
        <w:rPr>
          <w:rFonts w:ascii="Calibri" w:eastAsia="MS Mincho" w:hAnsi="Calibri" w:cs="Calibri"/>
          <w:color w:val="000000"/>
          <w:szCs w:val="24"/>
        </w:rPr>
      </w:pPr>
      <w:r w:rsidRPr="006F1BA2">
        <w:rPr>
          <w:rFonts w:ascii="Calibri" w:eastAsia="MS Mincho" w:hAnsi="Calibri" w:cs="Calibri"/>
          <w:i/>
          <w:iCs/>
          <w:color w:val="000000"/>
          <w:szCs w:val="24"/>
        </w:rPr>
        <w:t xml:space="preserve">Two times more likely to be taught a core content course by a teacher who is not highly qualified </w:t>
      </w:r>
    </w:p>
    <w:p w14:paraId="43000151" w14:textId="77777777" w:rsidR="00424E73" w:rsidRDefault="00424E73" w:rsidP="00424E73"/>
    <w:p w14:paraId="5DCC41E8" w14:textId="77777777" w:rsidR="00B736B4" w:rsidRDefault="00B736B4" w:rsidP="00424E73">
      <w:pPr>
        <w:autoSpaceDE w:val="0"/>
        <w:autoSpaceDN w:val="0"/>
        <w:adjustRightInd w:val="0"/>
        <w:rPr>
          <w:rFonts w:ascii="Calibri" w:eastAsia="MS Mincho" w:hAnsi="Calibri" w:cs="Calibri"/>
          <w:color w:val="000000"/>
          <w:szCs w:val="24"/>
        </w:rPr>
        <w:sectPr w:rsidR="00B736B4" w:rsidSect="005017F4">
          <w:headerReference w:type="default" r:id="rId35"/>
          <w:pgSz w:w="12240" w:h="15840"/>
          <w:pgMar w:top="1153" w:right="1440" w:bottom="1710" w:left="1440" w:header="432" w:footer="432" w:gutter="0"/>
          <w:cols w:space="720"/>
          <w:docGrid w:linePitch="360"/>
        </w:sectPr>
      </w:pPr>
    </w:p>
    <w:p w14:paraId="06FE0A51" w14:textId="5FBCAFF6" w:rsidR="007E5090" w:rsidRPr="001E6AFD" w:rsidRDefault="007E5090" w:rsidP="007E5090">
      <w:p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lastRenderedPageBreak/>
        <w:t xml:space="preserve">The </w:t>
      </w:r>
      <w:r>
        <w:rPr>
          <w:rFonts w:ascii="Calibri" w:eastAsia="MS Mincho" w:hAnsi="Calibri" w:cs="Calibri"/>
          <w:color w:val="000000"/>
          <w:szCs w:val="24"/>
        </w:rPr>
        <w:t>d</w:t>
      </w:r>
      <w:r w:rsidRPr="001E6AFD">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1E6AFD">
        <w:rPr>
          <w:rFonts w:ascii="Calibri" w:eastAsia="MS Mincho" w:hAnsi="Calibri" w:cs="Calibri"/>
          <w:color w:val="000000"/>
          <w:szCs w:val="24"/>
        </w:rPr>
        <w:t xml:space="preserve">ates of </w:t>
      </w:r>
      <w:r>
        <w:rPr>
          <w:rFonts w:ascii="Calibri" w:eastAsia="MS Mincho" w:hAnsi="Calibri" w:cs="Calibri"/>
          <w:color w:val="000000"/>
          <w:szCs w:val="24"/>
        </w:rPr>
        <w:t>a</w:t>
      </w:r>
      <w:r w:rsidRPr="001E6AFD">
        <w:rPr>
          <w:rFonts w:ascii="Calibri" w:eastAsia="MS Mincho" w:hAnsi="Calibri" w:cs="Calibri"/>
          <w:color w:val="000000"/>
          <w:szCs w:val="24"/>
        </w:rPr>
        <w:t xml:space="preserve">ccess to </w:t>
      </w:r>
      <w:r>
        <w:rPr>
          <w:rFonts w:ascii="Calibri" w:eastAsia="MS Mincho" w:hAnsi="Calibri" w:cs="Calibri"/>
          <w:color w:val="000000"/>
          <w:szCs w:val="24"/>
        </w:rPr>
        <w:t>e</w:t>
      </w:r>
      <w:r w:rsidRPr="001E6AFD">
        <w:rPr>
          <w:rFonts w:ascii="Calibri" w:eastAsia="MS Mincho" w:hAnsi="Calibri" w:cs="Calibri"/>
          <w:color w:val="000000"/>
          <w:szCs w:val="24"/>
        </w:rPr>
        <w:t xml:space="preserve">ducators are displayed in the graphs that follow. </w:t>
      </w:r>
    </w:p>
    <w:p w14:paraId="06F65E21" w14:textId="3CD14334" w:rsidR="007E5090" w:rsidRPr="001E6AFD" w:rsidRDefault="007E5090" w:rsidP="00424E73">
      <w:pPr>
        <w:autoSpaceDE w:val="0"/>
        <w:autoSpaceDN w:val="0"/>
        <w:adjustRightInd w:val="0"/>
        <w:jc w:val="center"/>
        <w:rPr>
          <w:rFonts w:ascii="Calibri" w:eastAsia="MS Mincho" w:hAnsi="Calibri" w:cs="Calibri"/>
          <w:color w:val="000000"/>
          <w:szCs w:val="24"/>
        </w:rPr>
      </w:pPr>
      <w:r w:rsidRPr="001E6AFD">
        <w:rPr>
          <w:rFonts w:ascii="Calibri" w:eastAsia="MS Mincho" w:hAnsi="Calibri" w:cs="Calibri"/>
          <w:b/>
          <w:bCs/>
          <w:color w:val="000000"/>
          <w:szCs w:val="24"/>
        </w:rPr>
        <w:t xml:space="preserve">Economically Disadvantaged </w:t>
      </w:r>
      <w:r>
        <w:rPr>
          <w:rFonts w:ascii="Calibri" w:eastAsia="MS Mincho" w:hAnsi="Calibri" w:cs="Calibri"/>
          <w:b/>
          <w:bCs/>
          <w:color w:val="000000"/>
          <w:szCs w:val="24"/>
        </w:rPr>
        <w:t xml:space="preserve">(Low Income) </w:t>
      </w:r>
      <w:r w:rsidRPr="001E6AFD">
        <w:rPr>
          <w:rFonts w:ascii="Calibri" w:eastAsia="MS Mincho" w:hAnsi="Calibri" w:cs="Calibri"/>
          <w:b/>
          <w:bCs/>
          <w:color w:val="000000"/>
          <w:szCs w:val="24"/>
        </w:rPr>
        <w:t>Students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Inexperienced Teachers</w:t>
      </w:r>
      <w:r>
        <w:rPr>
          <w:rFonts w:ascii="Calibri" w:eastAsia="MS Mincho" w:hAnsi="Calibri" w:cs="Calibri"/>
          <w:b/>
          <w:bCs/>
          <w:color w:val="000000"/>
          <w:szCs w:val="24"/>
        </w:rPr>
        <w:t xml:space="preserve"> (10 Year Average)</w:t>
      </w:r>
      <w:r w:rsidR="00455E8D" w:rsidRPr="00455E8D">
        <w:rPr>
          <w:rFonts w:ascii="Calibri" w:eastAsia="MS Mincho" w:hAnsi="Calibri" w:cs="Calibri"/>
          <w:noProof/>
          <w:color w:val="000000"/>
          <w:sz w:val="24"/>
          <w:szCs w:val="24"/>
        </w:rPr>
        <w:t xml:space="preserve"> </w:t>
      </w:r>
      <w:r w:rsidR="00455E8D">
        <w:rPr>
          <w:rFonts w:ascii="Calibri" w:eastAsia="MS Mincho" w:hAnsi="Calibri" w:cs="Calibri"/>
          <w:noProof/>
          <w:color w:val="000000"/>
          <w:sz w:val="24"/>
          <w:szCs w:val="24"/>
        </w:rPr>
        <w:drawing>
          <wp:inline distT="0" distB="0" distL="0" distR="0" wp14:anchorId="79E4C418" wp14:editId="28E23769">
            <wp:extent cx="5066030" cy="2743200"/>
            <wp:effectExtent l="0" t="0" r="1270" b="0"/>
            <wp:docPr id="28" name="Picture 28" descr="School Characteristics by Low-Income Quartiles&#10;&#10;On average from 2005 to 2014 the following is true:&#10;1) schools in the top quartile of low-income students have 9.2% of their teachers in their first year of teaching,&#10;2) schools in the bottome quaritle of low-income students have 5.0% of their teachers in their first year of teaching, and &#10;3) all schools in Alaska had 6.7% of teachers in their first year of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66030" cy="2743200"/>
                    </a:xfrm>
                    <a:prstGeom prst="rect">
                      <a:avLst/>
                    </a:prstGeom>
                    <a:noFill/>
                  </pic:spPr>
                </pic:pic>
              </a:graphicData>
            </a:graphic>
          </wp:inline>
        </w:drawing>
      </w:r>
    </w:p>
    <w:p w14:paraId="0EC3E469" w14:textId="66676B1B" w:rsidR="007E5090" w:rsidRDefault="007E5090" w:rsidP="00424E73">
      <w:pPr>
        <w:autoSpaceDE w:val="0"/>
        <w:autoSpaceDN w:val="0"/>
        <w:adjustRightInd w:val="0"/>
        <w:jc w:val="center"/>
        <w:rPr>
          <w:rFonts w:ascii="Calibri" w:eastAsia="MS Mincho" w:hAnsi="Calibri" w:cs="Calibri"/>
          <w:b/>
          <w:bCs/>
          <w:color w:val="000000"/>
          <w:szCs w:val="24"/>
        </w:rPr>
      </w:pPr>
      <w:r w:rsidRPr="001E6AFD">
        <w:rPr>
          <w:rFonts w:ascii="Calibri" w:eastAsia="MS Mincho" w:hAnsi="Calibri" w:cs="Calibri"/>
          <w:b/>
          <w:bCs/>
          <w:color w:val="000000"/>
          <w:szCs w:val="24"/>
        </w:rPr>
        <w:t>Students of Color (Minority)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Inex</w:t>
      </w:r>
      <w:r>
        <w:rPr>
          <w:rFonts w:ascii="Calibri" w:eastAsia="MS Mincho" w:hAnsi="Calibri" w:cs="Calibri"/>
          <w:b/>
          <w:bCs/>
          <w:color w:val="000000"/>
          <w:szCs w:val="24"/>
        </w:rPr>
        <w:t>perienced Teachers (10 Year Average)</w:t>
      </w:r>
    </w:p>
    <w:p w14:paraId="2884D030" w14:textId="3D0A31BA" w:rsidR="008E7D66" w:rsidRPr="003335BA" w:rsidRDefault="008E7D66" w:rsidP="00424E73">
      <w:pPr>
        <w:autoSpaceDE w:val="0"/>
        <w:autoSpaceDN w:val="0"/>
        <w:adjustRightInd w:val="0"/>
        <w:jc w:val="center"/>
        <w:rPr>
          <w:rFonts w:ascii="Calibri" w:eastAsia="MS Mincho" w:hAnsi="Calibri" w:cs="Calibri"/>
          <w:color w:val="000000"/>
          <w:szCs w:val="24"/>
        </w:rPr>
      </w:pPr>
      <w:r>
        <w:rPr>
          <w:noProof/>
        </w:rPr>
        <w:drawing>
          <wp:inline distT="0" distB="0" distL="0" distR="0" wp14:anchorId="4B227AB8" wp14:editId="275B7B1A">
            <wp:extent cx="5326911" cy="2991680"/>
            <wp:effectExtent l="0" t="0" r="7620" b="0"/>
            <wp:docPr id="10" name="Picture 10" descr="Disportionate Rate of Access to Inexperience Teachers by Minority Quartiles&#10;&#10;On average from 2005 to 2014 the following are true:&#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74892" cy="3018627"/>
                    </a:xfrm>
                    <a:prstGeom prst="rect">
                      <a:avLst/>
                    </a:prstGeom>
                  </pic:spPr>
                </pic:pic>
              </a:graphicData>
            </a:graphic>
          </wp:inline>
        </w:drawing>
      </w:r>
    </w:p>
    <w:p w14:paraId="0575013D" w14:textId="77777777" w:rsidR="00A92E69" w:rsidRDefault="00A92E69">
      <w:pPr>
        <w:spacing w:after="160"/>
        <w:rPr>
          <w:rFonts w:ascii="Calibri" w:eastAsia="MS Mincho" w:hAnsi="Calibri" w:cs="Calibri"/>
          <w:color w:val="000000"/>
          <w:szCs w:val="24"/>
        </w:rPr>
      </w:pPr>
      <w:r>
        <w:rPr>
          <w:rFonts w:ascii="Calibri" w:eastAsia="MS Mincho" w:hAnsi="Calibri" w:cs="Calibri"/>
          <w:color w:val="000000"/>
          <w:szCs w:val="24"/>
        </w:rPr>
        <w:br w:type="page"/>
      </w:r>
    </w:p>
    <w:p w14:paraId="2FC7568A" w14:textId="7E184DFE" w:rsidR="007E5090" w:rsidRDefault="00A92E69" w:rsidP="00424E73">
      <w:pPr>
        <w:autoSpaceDE w:val="0"/>
        <w:autoSpaceDN w:val="0"/>
        <w:adjustRightInd w:val="0"/>
        <w:rPr>
          <w:rFonts w:ascii="Calibri" w:eastAsia="MS Mincho" w:hAnsi="Calibri" w:cs="Calibri"/>
          <w:color w:val="000000"/>
          <w:sz w:val="24"/>
          <w:szCs w:val="24"/>
        </w:rPr>
      </w:pPr>
      <w:r>
        <w:rPr>
          <w:rFonts w:ascii="Calibri" w:eastAsia="MS Mincho" w:hAnsi="Calibri" w:cs="Calibri"/>
          <w:color w:val="000000"/>
          <w:szCs w:val="24"/>
        </w:rPr>
        <w:lastRenderedPageBreak/>
        <w:t>T</w:t>
      </w:r>
      <w:r w:rsidR="007E5090" w:rsidRPr="00600F68">
        <w:rPr>
          <w:rFonts w:ascii="Calibri" w:eastAsia="MS Mincho" w:hAnsi="Calibri" w:cs="Calibri"/>
          <w:color w:val="000000"/>
          <w:szCs w:val="24"/>
        </w:rPr>
        <w:t xml:space="preserve">he </w:t>
      </w:r>
      <w:r w:rsidR="007E5090">
        <w:rPr>
          <w:rFonts w:ascii="Calibri" w:eastAsia="MS Mincho" w:hAnsi="Calibri" w:cs="Calibri"/>
          <w:color w:val="000000"/>
          <w:szCs w:val="24"/>
        </w:rPr>
        <w:t>d</w:t>
      </w:r>
      <w:r w:rsidR="007E5090" w:rsidRPr="00600F68">
        <w:rPr>
          <w:rFonts w:ascii="Calibri" w:eastAsia="MS Mincho" w:hAnsi="Calibri" w:cs="Calibri"/>
          <w:color w:val="000000"/>
          <w:szCs w:val="24"/>
        </w:rPr>
        <w:t xml:space="preserve">isproportionate </w:t>
      </w:r>
      <w:r w:rsidR="007E5090">
        <w:rPr>
          <w:rFonts w:ascii="Calibri" w:eastAsia="MS Mincho" w:hAnsi="Calibri" w:cs="Calibri"/>
          <w:color w:val="000000"/>
          <w:szCs w:val="24"/>
        </w:rPr>
        <w:t>r</w:t>
      </w:r>
      <w:r w:rsidR="007E5090" w:rsidRPr="00600F68">
        <w:rPr>
          <w:rFonts w:ascii="Calibri" w:eastAsia="MS Mincho" w:hAnsi="Calibri" w:cs="Calibri"/>
          <w:color w:val="000000"/>
          <w:szCs w:val="24"/>
        </w:rPr>
        <w:t xml:space="preserve">ates of </w:t>
      </w:r>
      <w:r w:rsidR="007E5090">
        <w:rPr>
          <w:rFonts w:ascii="Calibri" w:eastAsia="MS Mincho" w:hAnsi="Calibri" w:cs="Calibri"/>
          <w:color w:val="000000"/>
          <w:szCs w:val="24"/>
        </w:rPr>
        <w:t>a</w:t>
      </w:r>
      <w:r w:rsidR="007E5090" w:rsidRPr="00600F68">
        <w:rPr>
          <w:rFonts w:ascii="Calibri" w:eastAsia="MS Mincho" w:hAnsi="Calibri" w:cs="Calibri"/>
          <w:color w:val="000000"/>
          <w:szCs w:val="24"/>
        </w:rPr>
        <w:t xml:space="preserve">ccess to </w:t>
      </w:r>
      <w:r w:rsidR="007E5090">
        <w:rPr>
          <w:rFonts w:ascii="Calibri" w:eastAsia="MS Mincho" w:hAnsi="Calibri" w:cs="Calibri"/>
          <w:color w:val="000000"/>
          <w:szCs w:val="24"/>
        </w:rPr>
        <w:t>o</w:t>
      </w:r>
      <w:r w:rsidR="007E5090" w:rsidRPr="00600F68">
        <w:rPr>
          <w:rFonts w:ascii="Calibri" w:eastAsia="MS Mincho" w:hAnsi="Calibri" w:cs="Calibri"/>
          <w:color w:val="000000"/>
          <w:szCs w:val="24"/>
        </w:rPr>
        <w:t>ut-of-</w:t>
      </w:r>
      <w:r w:rsidR="007E5090">
        <w:rPr>
          <w:rFonts w:ascii="Calibri" w:eastAsia="MS Mincho" w:hAnsi="Calibri" w:cs="Calibri"/>
          <w:color w:val="000000"/>
          <w:szCs w:val="24"/>
        </w:rPr>
        <w:t>f</w:t>
      </w:r>
      <w:r w:rsidR="007E5090" w:rsidRPr="00600F68">
        <w:rPr>
          <w:rFonts w:ascii="Calibri" w:eastAsia="MS Mincho" w:hAnsi="Calibri" w:cs="Calibri"/>
          <w:color w:val="000000"/>
          <w:szCs w:val="24"/>
        </w:rPr>
        <w:t xml:space="preserve">ield </w:t>
      </w:r>
      <w:r w:rsidR="007E5090">
        <w:rPr>
          <w:rFonts w:ascii="Calibri" w:eastAsia="MS Mincho" w:hAnsi="Calibri" w:cs="Calibri"/>
          <w:color w:val="000000"/>
          <w:szCs w:val="24"/>
        </w:rPr>
        <w:t>t</w:t>
      </w:r>
      <w:r w:rsidR="007E5090" w:rsidRPr="00600F68">
        <w:rPr>
          <w:rFonts w:ascii="Calibri" w:eastAsia="MS Mincho" w:hAnsi="Calibri" w:cs="Calibri"/>
          <w:color w:val="000000"/>
          <w:szCs w:val="24"/>
        </w:rPr>
        <w:t xml:space="preserve">eachers </w:t>
      </w:r>
      <w:r w:rsidR="007E5090">
        <w:rPr>
          <w:rFonts w:ascii="Calibri" w:eastAsia="MS Mincho" w:hAnsi="Calibri" w:cs="Calibri"/>
          <w:color w:val="000000"/>
          <w:szCs w:val="24"/>
        </w:rPr>
        <w:t>shown below are</w:t>
      </w:r>
      <w:r w:rsidR="007E5090" w:rsidRPr="00600F68">
        <w:rPr>
          <w:rFonts w:ascii="Calibri" w:eastAsia="MS Mincho" w:hAnsi="Calibri" w:cs="Calibri"/>
          <w:color w:val="000000"/>
          <w:szCs w:val="24"/>
        </w:rPr>
        <w:t xml:space="preserve"> based on the previous definition in </w:t>
      </w:r>
      <w:r w:rsidR="007E5090">
        <w:rPr>
          <w:rFonts w:ascii="Calibri" w:eastAsia="MS Mincho" w:hAnsi="Calibri" w:cs="Calibri"/>
          <w:color w:val="000000"/>
          <w:szCs w:val="24"/>
        </w:rPr>
        <w:t>the</w:t>
      </w:r>
      <w:r w:rsidR="007E5090" w:rsidRPr="00600F68">
        <w:rPr>
          <w:rFonts w:ascii="Calibri" w:eastAsia="MS Mincho" w:hAnsi="Calibri" w:cs="Calibri"/>
          <w:color w:val="000000"/>
          <w:szCs w:val="24"/>
        </w:rPr>
        <w:t xml:space="preserve"> </w:t>
      </w:r>
      <w:r w:rsidR="007E5090">
        <w:rPr>
          <w:rFonts w:ascii="Calibri" w:eastAsia="MS Mincho" w:hAnsi="Calibri" w:cs="Calibri"/>
          <w:color w:val="000000"/>
          <w:szCs w:val="24"/>
        </w:rPr>
        <w:t xml:space="preserve">2015 </w:t>
      </w:r>
      <w:r w:rsidR="007E5090" w:rsidRPr="00600F68">
        <w:rPr>
          <w:rFonts w:ascii="Calibri" w:eastAsia="MS Mincho" w:hAnsi="Calibri" w:cs="Calibri"/>
          <w:color w:val="000000"/>
          <w:szCs w:val="24"/>
        </w:rPr>
        <w:t>Alaska State Equity Plan and not the current proposed definition.</w:t>
      </w:r>
    </w:p>
    <w:p w14:paraId="0D4FC90C" w14:textId="69B159A7" w:rsidR="007E5090" w:rsidRDefault="007E5090" w:rsidP="00A92E69">
      <w:pPr>
        <w:autoSpaceDE w:val="0"/>
        <w:autoSpaceDN w:val="0"/>
        <w:adjustRightInd w:val="0"/>
        <w:spacing w:after="0"/>
        <w:jc w:val="center"/>
        <w:rPr>
          <w:rFonts w:ascii="Calibri" w:eastAsia="MS Mincho" w:hAnsi="Calibri" w:cs="Calibri"/>
          <w:b/>
          <w:bCs/>
          <w:color w:val="000000"/>
          <w:szCs w:val="24"/>
        </w:rPr>
      </w:pPr>
      <w:r w:rsidRPr="001E6AFD">
        <w:rPr>
          <w:rFonts w:ascii="Calibri" w:eastAsia="MS Mincho" w:hAnsi="Calibri" w:cs="Calibri"/>
          <w:b/>
          <w:bCs/>
          <w:color w:val="000000"/>
          <w:szCs w:val="24"/>
        </w:rPr>
        <w:t xml:space="preserve">Economically Disadvantaged </w:t>
      </w:r>
      <w:r>
        <w:rPr>
          <w:rFonts w:ascii="Calibri" w:eastAsia="MS Mincho" w:hAnsi="Calibri" w:cs="Calibri"/>
          <w:b/>
          <w:bCs/>
          <w:color w:val="000000"/>
          <w:szCs w:val="24"/>
        </w:rPr>
        <w:t xml:space="preserve">(Low Income) </w:t>
      </w:r>
      <w:r w:rsidRPr="001E6AFD">
        <w:rPr>
          <w:rFonts w:ascii="Calibri" w:eastAsia="MS Mincho" w:hAnsi="Calibri" w:cs="Calibri"/>
          <w:b/>
          <w:bCs/>
          <w:color w:val="000000"/>
          <w:szCs w:val="24"/>
        </w:rPr>
        <w:t>Students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Out-Of-Field Teachers</w:t>
      </w:r>
      <w:r>
        <w:rPr>
          <w:rFonts w:ascii="Calibri" w:eastAsia="MS Mincho" w:hAnsi="Calibri" w:cs="Calibri"/>
          <w:b/>
          <w:bCs/>
          <w:color w:val="000000"/>
          <w:szCs w:val="24"/>
        </w:rPr>
        <w:t xml:space="preserve"> (10 Year Average)</w:t>
      </w:r>
    </w:p>
    <w:p w14:paraId="53C93E33" w14:textId="46BC88AA" w:rsidR="008E7D66" w:rsidRPr="001E6AFD" w:rsidRDefault="008E7D66" w:rsidP="00424E73">
      <w:pPr>
        <w:autoSpaceDE w:val="0"/>
        <w:autoSpaceDN w:val="0"/>
        <w:adjustRightInd w:val="0"/>
        <w:jc w:val="center"/>
        <w:rPr>
          <w:rFonts w:ascii="Calibri" w:eastAsia="MS Mincho" w:hAnsi="Calibri" w:cs="Calibri"/>
          <w:color w:val="000000"/>
          <w:szCs w:val="24"/>
        </w:rPr>
      </w:pPr>
      <w:r>
        <w:rPr>
          <w:noProof/>
        </w:rPr>
        <w:drawing>
          <wp:inline distT="0" distB="0" distL="0" distR="0" wp14:anchorId="49D3B41B" wp14:editId="17B9BC0E">
            <wp:extent cx="5185676" cy="2644079"/>
            <wp:effectExtent l="0" t="0" r="0" b="4445"/>
            <wp:docPr id="13" name="Picture 13" descr="Disproportionate Rate of Access to Out of Field Teachers&#10;&#10;During the 2014-2015 school year, the following statements are true:&#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were taught by teachers who are not highly qual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227722" cy="2665518"/>
                    </a:xfrm>
                    <a:prstGeom prst="rect">
                      <a:avLst/>
                    </a:prstGeom>
                  </pic:spPr>
                </pic:pic>
              </a:graphicData>
            </a:graphic>
          </wp:inline>
        </w:drawing>
      </w:r>
    </w:p>
    <w:p w14:paraId="2637CFB1" w14:textId="5628C58B" w:rsidR="007E5090" w:rsidRDefault="007E5090" w:rsidP="00A92E69">
      <w:pPr>
        <w:autoSpaceDE w:val="0"/>
        <w:autoSpaceDN w:val="0"/>
        <w:adjustRightInd w:val="0"/>
        <w:spacing w:after="0"/>
        <w:jc w:val="center"/>
        <w:rPr>
          <w:rFonts w:ascii="Calibri" w:eastAsia="MS Mincho" w:hAnsi="Calibri" w:cs="Calibri"/>
          <w:b/>
          <w:bCs/>
          <w:color w:val="000000"/>
          <w:szCs w:val="24"/>
        </w:rPr>
      </w:pPr>
      <w:r w:rsidRPr="001E6AFD">
        <w:rPr>
          <w:rFonts w:ascii="Calibri" w:eastAsia="MS Mincho" w:hAnsi="Calibri" w:cs="Calibri"/>
          <w:b/>
          <w:bCs/>
          <w:color w:val="000000"/>
          <w:szCs w:val="24"/>
        </w:rPr>
        <w:t>Students of Color (Minority)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 xml:space="preserve">Access to </w:t>
      </w:r>
      <w:r>
        <w:rPr>
          <w:rFonts w:ascii="Calibri" w:eastAsia="MS Mincho" w:hAnsi="Calibri" w:cs="Calibri"/>
          <w:b/>
          <w:bCs/>
          <w:color w:val="000000"/>
          <w:szCs w:val="24"/>
        </w:rPr>
        <w:t>Out-of-Field Teachers (10 Year Average)</w:t>
      </w:r>
    </w:p>
    <w:p w14:paraId="752F56C9" w14:textId="5EB7852A" w:rsidR="007E5090" w:rsidRDefault="008E7D66" w:rsidP="007E5090">
      <w:pPr>
        <w:autoSpaceDE w:val="0"/>
        <w:autoSpaceDN w:val="0"/>
        <w:adjustRightInd w:val="0"/>
        <w:jc w:val="center"/>
        <w:rPr>
          <w:rFonts w:cs="Times New Roman"/>
          <w:b/>
          <w:bCs/>
        </w:rPr>
      </w:pPr>
      <w:r>
        <w:rPr>
          <w:noProof/>
        </w:rPr>
        <w:drawing>
          <wp:inline distT="0" distB="0" distL="0" distR="0" wp14:anchorId="417C968B" wp14:editId="1B04AAF5">
            <wp:extent cx="5037292" cy="3043811"/>
            <wp:effectExtent l="0" t="0" r="0" b="4445"/>
            <wp:docPr id="1" name="Picture 1" descr="Disproportionate Rate of Access to Out-of-Field Teachers by Minority Students&#10;In 2014-15 the following statements were true:&#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72090" cy="3064838"/>
                    </a:xfrm>
                    <a:prstGeom prst="rect">
                      <a:avLst/>
                    </a:prstGeom>
                  </pic:spPr>
                </pic:pic>
              </a:graphicData>
            </a:graphic>
          </wp:inline>
        </w:drawing>
      </w:r>
    </w:p>
    <w:p w14:paraId="45850922" w14:textId="77777777" w:rsidR="00BA4A8C" w:rsidRDefault="00BA4A8C">
      <w:pPr>
        <w:rPr>
          <w:rFonts w:cs="Times New Roman"/>
          <w:b/>
          <w:bCs/>
        </w:rPr>
      </w:pPr>
      <w:r>
        <w:rPr>
          <w:rFonts w:cs="Times New Roman"/>
          <w:b/>
          <w:bCs/>
        </w:rPr>
        <w:br w:type="page"/>
      </w:r>
    </w:p>
    <w:p w14:paraId="406B103E" w14:textId="55C6C51F" w:rsidR="007E5090" w:rsidRPr="00B42FAA" w:rsidRDefault="007E5090" w:rsidP="00424E73">
      <w:pPr>
        <w:rPr>
          <w:rFonts w:cs="Times New Roman"/>
          <w:b/>
          <w:bCs/>
        </w:rPr>
      </w:pPr>
      <w:r w:rsidRPr="00B42FAA">
        <w:rPr>
          <w:rFonts w:cs="Times New Roman"/>
          <w:b/>
          <w:bCs/>
        </w:rPr>
        <w:lastRenderedPageBreak/>
        <w:t>Background: Initial Root Cause Analysis</w:t>
      </w:r>
    </w:p>
    <w:p w14:paraId="6185385D" w14:textId="77777777" w:rsidR="00A92E69" w:rsidRDefault="007E5090" w:rsidP="00A92E69">
      <w:pPr>
        <w:autoSpaceDE w:val="0"/>
        <w:autoSpaceDN w:val="0"/>
        <w:adjustRightInd w:val="0"/>
        <w:spacing w:after="240"/>
        <w:rPr>
          <w:rFonts w:cs="Times New Roman"/>
        </w:rPr>
      </w:pPr>
      <w:r>
        <w:rPr>
          <w:rFonts w:cs="Times New Roman"/>
        </w:rPr>
        <w:t xml:space="preserve">Stakeholder work in 2015 to </w:t>
      </w:r>
      <w:r w:rsidRPr="006804D1">
        <w:rPr>
          <w:rFonts w:cs="Times New Roman"/>
        </w:rPr>
        <w:t xml:space="preserve">develop </w:t>
      </w:r>
      <w:r>
        <w:rPr>
          <w:rFonts w:cs="Times New Roman"/>
        </w:rPr>
        <w:t xml:space="preserve">the </w:t>
      </w:r>
      <w:r w:rsidRPr="007277D8">
        <w:rPr>
          <w:rStyle w:val="Strong"/>
          <w:b w:val="0"/>
          <w:color w:val="333333"/>
          <w:shd w:val="clear" w:color="auto" w:fill="FFFFFF"/>
        </w:rPr>
        <w:t>Alaska Equity Plan</w:t>
      </w:r>
      <w:r>
        <w:rPr>
          <w:rStyle w:val="Strong"/>
          <w:b w:val="0"/>
          <w:color w:val="333333"/>
          <w:shd w:val="clear" w:color="auto" w:fill="FFFFFF"/>
        </w:rPr>
        <w:t xml:space="preserve"> identified an initial picture of the challenges in Alaska. </w:t>
      </w:r>
      <w:r>
        <w:t xml:space="preserve">Through the analysis of data, information gathered from meetings, conversations with stakeholders, and various research studies, DEED identified </w:t>
      </w:r>
      <w:r>
        <w:rPr>
          <w:rStyle w:val="Strong"/>
          <w:b w:val="0"/>
          <w:color w:val="333333"/>
          <w:shd w:val="clear" w:color="auto" w:fill="FFFFFF"/>
        </w:rPr>
        <w:t>root causes in three areas.</w:t>
      </w:r>
      <w:r w:rsidRPr="00B42FAA">
        <w:rPr>
          <w:rFonts w:cs="Times New Roman"/>
        </w:rPr>
        <w:t xml:space="preserve"> </w:t>
      </w:r>
      <w:r w:rsidR="00455E8D">
        <w:rPr>
          <w:rFonts w:ascii="Times New Roman" w:hAnsi="Times New Roman" w:cs="Times New Roman"/>
          <w:noProof/>
          <w:sz w:val="24"/>
          <w:szCs w:val="24"/>
        </w:rPr>
        <w:drawing>
          <wp:inline distT="0" distB="0" distL="0" distR="0" wp14:anchorId="528E0CF5" wp14:editId="12249FEA">
            <wp:extent cx="2703830" cy="2219325"/>
            <wp:effectExtent l="0" t="0" r="0" b="0"/>
            <wp:docPr id="4" name="Picture 4" descr="Initial Root Cause Analysis indicates the following:&#10;&#10;Alaska has an Insufficient supply of excellent educators&#10;Difficulty Retaining excellent educators&#10;Rural Challenges provide additional issu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rotWithShape="1">
                    <a:blip r:embed="rId40">
                      <a:extLst>
                        <a:ext uri="{28A0092B-C50C-407E-A947-70E740481C1C}">
                          <a14:useLocalDpi xmlns:a14="http://schemas.microsoft.com/office/drawing/2010/main" val="0"/>
                        </a:ext>
                      </a:extLst>
                    </a:blip>
                    <a:srcRect l="-4416" t="-4361" r="-3481" b="-3168"/>
                    <a:stretch/>
                  </pic:blipFill>
                  <pic:spPr bwMode="auto">
                    <a:xfrm>
                      <a:off x="0" y="0"/>
                      <a:ext cx="2703830" cy="2219325"/>
                    </a:xfrm>
                    <a:prstGeom prst="rect">
                      <a:avLst/>
                    </a:prstGeom>
                    <a:noFill/>
                    <a:ln>
                      <a:noFill/>
                    </a:ln>
                    <a:extLst>
                      <a:ext uri="{53640926-AAD7-44D8-BBD7-CCE9431645EC}">
                        <a14:shadowObscured xmlns:a14="http://schemas.microsoft.com/office/drawing/2010/main"/>
                      </a:ext>
                    </a:extLst>
                  </pic:spPr>
                </pic:pic>
              </a:graphicData>
            </a:graphic>
          </wp:inline>
        </w:drawing>
      </w:r>
    </w:p>
    <w:p w14:paraId="7FB8BDE9" w14:textId="221A2EE1" w:rsidR="007E5090" w:rsidRPr="006804D1" w:rsidRDefault="007E5090" w:rsidP="00A92E69">
      <w:pPr>
        <w:rPr>
          <w:rFonts w:cs="Times New Roman"/>
          <w:b/>
        </w:rPr>
      </w:pPr>
      <w:r>
        <w:rPr>
          <w:rStyle w:val="Strong"/>
          <w:b w:val="0"/>
          <w:color w:val="333333"/>
          <w:shd w:val="clear" w:color="auto" w:fill="FFFFFF"/>
        </w:rPr>
        <w:t xml:space="preserve">DEED will continue to work with districts and stakeholders to reassess root causes for disproportionate access to educators and will focus on strategies to address the causes identified in the blue areas that can be affected more directly by districts and schools. </w:t>
      </w:r>
    </w:p>
    <w:p w14:paraId="471A7B40" w14:textId="77777777" w:rsidR="007E5090" w:rsidRPr="00B42FAA" w:rsidRDefault="007E5090" w:rsidP="00424E73">
      <w:pPr>
        <w:autoSpaceDE w:val="0"/>
        <w:autoSpaceDN w:val="0"/>
        <w:adjustRightInd w:val="0"/>
        <w:rPr>
          <w:rFonts w:cs="Times New Roman"/>
          <w:b/>
          <w:bCs/>
        </w:rPr>
      </w:pPr>
      <w:r w:rsidRPr="00B42FAA">
        <w:rPr>
          <w:rFonts w:cs="Times New Roman"/>
          <w:b/>
          <w:bCs/>
        </w:rPr>
        <w:t>Strategies to Address Root Causes and Eliminate Equity Gaps</w:t>
      </w:r>
    </w:p>
    <w:p w14:paraId="5DF7293B" w14:textId="77777777" w:rsidR="007E5090" w:rsidRDefault="007E5090" w:rsidP="00424E73">
      <w:pPr>
        <w:autoSpaceDE w:val="0"/>
        <w:autoSpaceDN w:val="0"/>
        <w:adjustRightInd w:val="0"/>
        <w:rPr>
          <w:rFonts w:cs="Times New Roman"/>
        </w:rPr>
      </w:pPr>
      <w:r w:rsidRPr="00B42FAA">
        <w:rPr>
          <w:rFonts w:cs="Times New Roman"/>
        </w:rPr>
        <w:t xml:space="preserve">Alaska recognizes that ensuring students’ equitable access to excellent teachers is a long-term issue, and achieving teacher equity goals will require implementation of strategies in collaboration with </w:t>
      </w:r>
      <w:r>
        <w:rPr>
          <w:rFonts w:cs="Times New Roman"/>
        </w:rPr>
        <w:t>Alaska’s</w:t>
      </w:r>
      <w:r w:rsidRPr="00B42FAA">
        <w:rPr>
          <w:rFonts w:cs="Times New Roman"/>
        </w:rPr>
        <w:t xml:space="preserve"> school districts. Alaska’s </w:t>
      </w:r>
      <w:r>
        <w:rPr>
          <w:rFonts w:cs="Times New Roman"/>
        </w:rPr>
        <w:t>plan</w:t>
      </w:r>
      <w:r w:rsidRPr="00B42FAA">
        <w:rPr>
          <w:rFonts w:cs="Times New Roman"/>
        </w:rPr>
        <w:t>, therefore, is built on the following theory of action.</w:t>
      </w:r>
    </w:p>
    <w:p w14:paraId="01453099" w14:textId="77777777" w:rsidR="007E5090" w:rsidRDefault="007E5090" w:rsidP="00424E73">
      <w:pPr>
        <w:autoSpaceDE w:val="0"/>
        <w:autoSpaceDN w:val="0"/>
        <w:adjustRightInd w:val="0"/>
        <w:rPr>
          <w:rFonts w:cs="Times New Roman"/>
        </w:rPr>
      </w:pPr>
      <w:r>
        <w:rPr>
          <w:noProof/>
        </w:rPr>
        <w:drawing>
          <wp:inline distT="0" distB="0" distL="0" distR="0" wp14:anchorId="727CAE1B" wp14:editId="31F3836B">
            <wp:extent cx="5128260" cy="2954644"/>
            <wp:effectExtent l="0" t="0" r="0" b="0"/>
            <wp:docPr id="6" name="Diagram 6" descr="Alaska's Theory of Action&#10;&#10;If Alaska has a comprehensive approach to continuous improvement; then districts will recruit, retain, and develop excellent teachers, then schools will have equitable access to excellent teaching, and then all students will have higher levels of college- and career- readin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713DF14" w14:textId="77777777" w:rsidR="00A92E69" w:rsidRDefault="00A92E69">
      <w:pPr>
        <w:spacing w:after="160"/>
        <w:rPr>
          <w:rFonts w:eastAsia="Times New Roman" w:cstheme="minorHAnsi"/>
          <w:szCs w:val="24"/>
        </w:rPr>
      </w:pPr>
      <w:r>
        <w:rPr>
          <w:rFonts w:eastAsia="Times New Roman" w:cstheme="minorHAnsi"/>
          <w:szCs w:val="24"/>
        </w:rPr>
        <w:br w:type="page"/>
      </w:r>
    </w:p>
    <w:p w14:paraId="56660CDC" w14:textId="1464B8D7" w:rsidR="007E5090" w:rsidRPr="002039D6" w:rsidRDefault="007E5090" w:rsidP="00A92E69">
      <w:pPr>
        <w:spacing w:before="100" w:beforeAutospacing="1"/>
        <w:rPr>
          <w:rFonts w:eastAsia="Times New Roman" w:cstheme="minorHAnsi"/>
          <w:szCs w:val="24"/>
        </w:rPr>
      </w:pPr>
      <w:r>
        <w:rPr>
          <w:rFonts w:eastAsia="Times New Roman" w:cstheme="minorHAnsi"/>
          <w:szCs w:val="24"/>
        </w:rPr>
        <w:lastRenderedPageBreak/>
        <w:t>Alaska’s</w:t>
      </w:r>
      <w:r w:rsidRPr="002039D6">
        <w:rPr>
          <w:rFonts w:eastAsia="Times New Roman" w:cstheme="minorHAnsi"/>
          <w:szCs w:val="24"/>
        </w:rPr>
        <w:t xml:space="preserve"> theory of action is based on the</w:t>
      </w:r>
      <w:r>
        <w:rPr>
          <w:rFonts w:eastAsia="Times New Roman" w:cstheme="minorHAnsi"/>
          <w:szCs w:val="24"/>
        </w:rPr>
        <w:t xml:space="preserve"> following principles and</w:t>
      </w:r>
      <w:r w:rsidRPr="002039D6">
        <w:rPr>
          <w:rFonts w:eastAsia="Times New Roman" w:cstheme="minorHAnsi"/>
          <w:szCs w:val="24"/>
        </w:rPr>
        <w:t xml:space="preserve"> </w:t>
      </w:r>
      <w:r>
        <w:rPr>
          <w:rFonts w:eastAsia="Times New Roman" w:cstheme="minorHAnsi"/>
          <w:szCs w:val="24"/>
        </w:rPr>
        <w:t>key beliefs</w:t>
      </w:r>
      <w:r w:rsidRPr="002039D6">
        <w:rPr>
          <w:rFonts w:eastAsia="Times New Roman" w:cstheme="minorHAnsi"/>
          <w:szCs w:val="24"/>
        </w:rPr>
        <w:t>:</w:t>
      </w:r>
    </w:p>
    <w:p w14:paraId="2408455E" w14:textId="77777777" w:rsidR="007E5090" w:rsidRDefault="007E5090" w:rsidP="006641B6">
      <w:pPr>
        <w:numPr>
          <w:ilvl w:val="0"/>
          <w:numId w:val="58"/>
        </w:numPr>
        <w:autoSpaceDE w:val="0"/>
        <w:autoSpaceDN w:val="0"/>
        <w:adjustRightInd w:val="0"/>
        <w:spacing w:before="100" w:beforeAutospacing="1" w:afterAutospacing="1"/>
        <w:contextualSpacing/>
        <w:rPr>
          <w:rFonts w:eastAsia="Times New Roman" w:cstheme="minorHAnsi"/>
          <w:szCs w:val="24"/>
        </w:rPr>
      </w:pPr>
      <w:r w:rsidRPr="00857B08">
        <w:rPr>
          <w:rFonts w:eastAsia="Times New Roman" w:cstheme="minorHAnsi"/>
          <w:szCs w:val="24"/>
        </w:rPr>
        <w:t xml:space="preserve">Research shows that teachers have a greater impact on student achievement than any other in-school factor. Students in many of </w:t>
      </w:r>
      <w:r>
        <w:rPr>
          <w:rFonts w:eastAsia="Times New Roman" w:cstheme="minorHAnsi"/>
          <w:szCs w:val="24"/>
        </w:rPr>
        <w:t>Alaska’s</w:t>
      </w:r>
      <w:r w:rsidRPr="00857B08">
        <w:rPr>
          <w:rFonts w:eastAsia="Times New Roman" w:cstheme="minorHAnsi"/>
          <w:szCs w:val="24"/>
        </w:rPr>
        <w:t xml:space="preserve"> high-needs schools and districts do not have the same access to </w:t>
      </w:r>
      <w:r>
        <w:rPr>
          <w:rFonts w:eastAsia="Times New Roman" w:cstheme="minorHAnsi"/>
          <w:szCs w:val="24"/>
        </w:rPr>
        <w:t>excellent</w:t>
      </w:r>
      <w:r w:rsidRPr="00857B08">
        <w:rPr>
          <w:rFonts w:eastAsia="Times New Roman" w:cstheme="minorHAnsi"/>
          <w:szCs w:val="24"/>
        </w:rPr>
        <w:t xml:space="preserve"> teaching as other students.</w:t>
      </w:r>
      <w:r>
        <w:rPr>
          <w:rFonts w:eastAsia="Times New Roman" w:cstheme="minorHAnsi"/>
          <w:szCs w:val="24"/>
        </w:rPr>
        <w:t xml:space="preserve"> </w:t>
      </w:r>
    </w:p>
    <w:p w14:paraId="6C59E63C" w14:textId="77777777" w:rsidR="007E5090" w:rsidRPr="009B17B0" w:rsidRDefault="007E5090" w:rsidP="006641B6">
      <w:pPr>
        <w:numPr>
          <w:ilvl w:val="0"/>
          <w:numId w:val="58"/>
        </w:numPr>
        <w:autoSpaceDE w:val="0"/>
        <w:autoSpaceDN w:val="0"/>
        <w:adjustRightInd w:val="0"/>
        <w:spacing w:before="100" w:beforeAutospacing="1" w:afterAutospacing="1"/>
        <w:contextualSpacing/>
        <w:rPr>
          <w:rFonts w:cs="Times New Roman"/>
        </w:rPr>
      </w:pPr>
      <w:r w:rsidRPr="00857B08">
        <w:rPr>
          <w:rFonts w:cs="Times New Roman"/>
        </w:rPr>
        <w:t>There are a number of factors that impact a district’s supply of excellent teachers and students</w:t>
      </w:r>
      <w:r>
        <w:rPr>
          <w:rFonts w:cs="Times New Roman"/>
        </w:rPr>
        <w:t>’</w:t>
      </w:r>
      <w:r w:rsidRPr="00857B08">
        <w:rPr>
          <w:rFonts w:cs="Times New Roman"/>
        </w:rPr>
        <w:t xml:space="preserve"> access to those teachers. To address these issues, DEED needs to continue working with districts to improve and tailor talent management</w:t>
      </w:r>
      <w:r w:rsidRPr="009B17B0">
        <w:rPr>
          <w:rFonts w:cs="Times New Roman"/>
        </w:rPr>
        <w:t xml:space="preserve">, including identifying and addressing critical shortage areas. These are likely to include: </w:t>
      </w:r>
    </w:p>
    <w:p w14:paraId="4FE289C0" w14:textId="338C0F12" w:rsidR="007E5090" w:rsidRPr="008015D0" w:rsidRDefault="007E5090" w:rsidP="00080D72">
      <w:pPr>
        <w:pStyle w:val="ListParagraph"/>
        <w:numPr>
          <w:ilvl w:val="1"/>
          <w:numId w:val="58"/>
        </w:numPr>
        <w:autoSpaceDE w:val="0"/>
        <w:autoSpaceDN w:val="0"/>
        <w:adjustRightInd w:val="0"/>
        <w:rPr>
          <w:rFonts w:cs="Times New Roman"/>
        </w:rPr>
      </w:pPr>
      <w:r>
        <w:rPr>
          <w:rFonts w:cs="Times New Roman"/>
        </w:rPr>
        <w:t>Ways to recruit and retain t</w:t>
      </w:r>
      <w:r w:rsidRPr="008015D0">
        <w:rPr>
          <w:rFonts w:cs="Times New Roman"/>
        </w:rPr>
        <w:t xml:space="preserve">eachers of the </w:t>
      </w:r>
      <w:r>
        <w:rPr>
          <w:rFonts w:cs="Times New Roman"/>
        </w:rPr>
        <w:t>s</w:t>
      </w:r>
      <w:r w:rsidRPr="008015D0">
        <w:rPr>
          <w:rFonts w:cs="Times New Roman"/>
        </w:rPr>
        <w:t xml:space="preserve">cience, </w:t>
      </w:r>
      <w:r>
        <w:rPr>
          <w:rFonts w:cs="Times New Roman"/>
        </w:rPr>
        <w:t>t</w:t>
      </w:r>
      <w:r w:rsidRPr="008015D0">
        <w:rPr>
          <w:rFonts w:cs="Times New Roman"/>
        </w:rPr>
        <w:t xml:space="preserve">echnology, </w:t>
      </w:r>
      <w:r>
        <w:rPr>
          <w:rFonts w:cs="Times New Roman"/>
        </w:rPr>
        <w:t>e</w:t>
      </w:r>
      <w:r w:rsidRPr="008015D0">
        <w:rPr>
          <w:rFonts w:cs="Times New Roman"/>
        </w:rPr>
        <w:t xml:space="preserve">ngineering, and </w:t>
      </w:r>
      <w:r>
        <w:rPr>
          <w:rFonts w:cs="Times New Roman"/>
        </w:rPr>
        <w:t>m</w:t>
      </w:r>
      <w:r w:rsidRPr="008015D0">
        <w:rPr>
          <w:rFonts w:cs="Times New Roman"/>
        </w:rPr>
        <w:t xml:space="preserve">ath fields as well as teachers of students receiving special education services. DEED will leverage best practices from the research (e.g., </w:t>
      </w:r>
      <w:hyperlink r:id="rId46" w:history="1">
        <w:r w:rsidRPr="008015D0">
          <w:rPr>
            <w:rStyle w:val="Hyperlink"/>
            <w:rFonts w:cs="Times New Roman"/>
          </w:rPr>
          <w:t>recruiting math, science, and special education teachers</w:t>
        </w:r>
      </w:hyperlink>
      <w:r w:rsidR="00080D72">
        <w:rPr>
          <w:rStyle w:val="Hyperlink"/>
          <w:rFonts w:cs="Times New Roman"/>
        </w:rPr>
        <w:t xml:space="preserve"> </w:t>
      </w:r>
      <w:r w:rsidR="00080D72" w:rsidRPr="00080D72">
        <w:rPr>
          <w:rStyle w:val="Hyperlink"/>
          <w:rFonts w:cs="Times New Roman"/>
          <w:color w:val="auto"/>
          <w:u w:val="none"/>
        </w:rPr>
        <w:t>(www.gtlcenter.org/sites/default/files/docs/NCCTQRecruitQuality.pdf)</w:t>
      </w:r>
      <w:r w:rsidRPr="008015D0">
        <w:rPr>
          <w:rFonts w:cs="Times New Roman"/>
        </w:rPr>
        <w:t>)</w:t>
      </w:r>
      <w:r>
        <w:rPr>
          <w:rFonts w:cs="Times New Roman"/>
        </w:rPr>
        <w:t>, as well as,</w:t>
      </w:r>
      <w:r w:rsidRPr="008015D0">
        <w:rPr>
          <w:rFonts w:cs="Times New Roman"/>
        </w:rPr>
        <w:t xml:space="preserve"> practice</w:t>
      </w:r>
      <w:r>
        <w:rPr>
          <w:rFonts w:cs="Times New Roman"/>
        </w:rPr>
        <w:t xml:space="preserve">s piloted </w:t>
      </w:r>
      <w:r w:rsidRPr="008015D0">
        <w:rPr>
          <w:rFonts w:cs="Times New Roman"/>
        </w:rPr>
        <w:t xml:space="preserve">in Alaska to support districts in those areas as needed. </w:t>
      </w:r>
    </w:p>
    <w:p w14:paraId="40CB71A0" w14:textId="5A2AEC55" w:rsidR="007E5090" w:rsidRPr="00C27A3D" w:rsidRDefault="007E5090" w:rsidP="00080D72">
      <w:pPr>
        <w:pStyle w:val="ListParagraph"/>
        <w:numPr>
          <w:ilvl w:val="1"/>
          <w:numId w:val="58"/>
        </w:numPr>
        <w:autoSpaceDE w:val="0"/>
        <w:autoSpaceDN w:val="0"/>
        <w:adjustRightInd w:val="0"/>
      </w:pPr>
      <w:r>
        <w:rPr>
          <w:rFonts w:cs="Times New Roman"/>
        </w:rPr>
        <w:t xml:space="preserve">Continuing technical assistance to improve talent management for all districts. Using resources such as </w:t>
      </w:r>
      <w:hyperlink r:id="rId47" w:history="1">
        <w:r w:rsidRPr="00AC467C">
          <w:rPr>
            <w:rStyle w:val="Hyperlink"/>
            <w:rFonts w:cs="Times New Roman"/>
            <w:i/>
          </w:rPr>
          <w:t>Increasing Equitable Access to Excellent Educators Opportunities: A Talent Management Guide for School Districts</w:t>
        </w:r>
      </w:hyperlink>
      <w:r>
        <w:rPr>
          <w:rFonts w:cs="Times New Roman"/>
        </w:rPr>
        <w:t xml:space="preserve"> </w:t>
      </w:r>
      <w:r w:rsidR="00080D72">
        <w:rPr>
          <w:rFonts w:cs="Times New Roman"/>
        </w:rPr>
        <w:t>(</w:t>
      </w:r>
      <w:r w:rsidR="00080D72" w:rsidRPr="00080D72">
        <w:rPr>
          <w:rFonts w:cs="Times New Roman"/>
        </w:rPr>
        <w:t>www.ets.org/s/education_topics/teaching_quality/pdf/teacher_leader_model_standards.pdf</w:t>
      </w:r>
      <w:r w:rsidR="00080D72">
        <w:rPr>
          <w:rFonts w:cs="Times New Roman"/>
        </w:rPr>
        <w:t xml:space="preserve">) </w:t>
      </w:r>
      <w:r>
        <w:rPr>
          <w:rFonts w:cs="Times New Roman"/>
        </w:rPr>
        <w:t xml:space="preserve">produced by the Equitable Access Support Network. </w:t>
      </w:r>
      <w:r w:rsidRPr="00D87AEB">
        <w:rPr>
          <w:rFonts w:ascii="Calibri" w:hAnsi="Calibri"/>
        </w:rPr>
        <w:t xml:space="preserve">As part of this support, DEED will work with districts to train </w:t>
      </w:r>
      <w:r>
        <w:rPr>
          <w:rFonts w:ascii="Calibri" w:hAnsi="Calibri"/>
        </w:rPr>
        <w:t xml:space="preserve">administrators </w:t>
      </w:r>
      <w:r w:rsidRPr="00D87AEB">
        <w:rPr>
          <w:rFonts w:ascii="Calibri" w:hAnsi="Calibri"/>
        </w:rPr>
        <w:t>on effective supervision and expectations.</w:t>
      </w:r>
    </w:p>
    <w:p w14:paraId="57D2F006" w14:textId="77777777" w:rsidR="007E5090" w:rsidRPr="00F770AE" w:rsidRDefault="007E5090" w:rsidP="006641B6">
      <w:pPr>
        <w:pStyle w:val="Default"/>
        <w:numPr>
          <w:ilvl w:val="1"/>
          <w:numId w:val="58"/>
        </w:numPr>
        <w:spacing w:after="120"/>
      </w:pPr>
      <w:r>
        <w:rPr>
          <w:rFonts w:asciiTheme="minorHAnsi" w:hAnsiTheme="minorHAnsi"/>
          <w:color w:val="auto"/>
          <w:sz w:val="22"/>
          <w:szCs w:val="22"/>
        </w:rPr>
        <w:t xml:space="preserve">Alaska has </w:t>
      </w:r>
      <w:r w:rsidRPr="00D87AEB">
        <w:rPr>
          <w:rFonts w:asciiTheme="minorHAnsi" w:hAnsiTheme="minorHAnsi"/>
          <w:color w:val="auto"/>
          <w:sz w:val="22"/>
          <w:szCs w:val="22"/>
        </w:rPr>
        <w:t>been garnering information from states that have started planning or implementing “Equity Labs</w:t>
      </w:r>
      <w:r>
        <w:rPr>
          <w:rFonts w:asciiTheme="minorHAnsi" w:hAnsiTheme="minorHAnsi"/>
          <w:color w:val="auto"/>
          <w:sz w:val="22"/>
          <w:szCs w:val="22"/>
        </w:rPr>
        <w:t>.</w:t>
      </w:r>
      <w:r w:rsidRPr="00D87AEB">
        <w:rPr>
          <w:rFonts w:asciiTheme="minorHAnsi" w:hAnsiTheme="minorHAnsi"/>
          <w:color w:val="auto"/>
          <w:sz w:val="22"/>
          <w:szCs w:val="22"/>
        </w:rPr>
        <w:t xml:space="preserve">” </w:t>
      </w:r>
      <w:r>
        <w:rPr>
          <w:rFonts w:asciiTheme="minorHAnsi" w:hAnsiTheme="minorHAnsi"/>
          <w:color w:val="auto"/>
          <w:sz w:val="22"/>
          <w:szCs w:val="22"/>
        </w:rPr>
        <w:t>This is</w:t>
      </w:r>
      <w:r w:rsidRPr="00D87AEB">
        <w:rPr>
          <w:rFonts w:asciiTheme="minorHAnsi" w:hAnsiTheme="minorHAnsi"/>
          <w:color w:val="auto"/>
          <w:sz w:val="22"/>
          <w:szCs w:val="22"/>
        </w:rPr>
        <w:t xml:space="preserve"> a collaborative process with select school districts to begin to address the inequitable distribution of teachers</w:t>
      </w:r>
      <w:r>
        <w:rPr>
          <w:rFonts w:asciiTheme="minorHAnsi" w:hAnsiTheme="minorHAnsi"/>
          <w:color w:val="auto"/>
          <w:sz w:val="22"/>
          <w:szCs w:val="22"/>
        </w:rPr>
        <w:t xml:space="preserve">. DEED will </w:t>
      </w:r>
      <w:r w:rsidRPr="00D87AEB">
        <w:rPr>
          <w:rFonts w:asciiTheme="minorHAnsi" w:hAnsiTheme="minorHAnsi"/>
          <w:color w:val="auto"/>
          <w:sz w:val="22"/>
          <w:szCs w:val="22"/>
        </w:rPr>
        <w:t>be exploring the usefulness and feasibility of this approach in Alaska.</w:t>
      </w:r>
    </w:p>
    <w:p w14:paraId="524EFB68" w14:textId="77777777" w:rsidR="007E5090" w:rsidRDefault="007E5090" w:rsidP="006641B6">
      <w:pPr>
        <w:numPr>
          <w:ilvl w:val="0"/>
          <w:numId w:val="58"/>
        </w:numPr>
        <w:autoSpaceDE w:val="0"/>
        <w:autoSpaceDN w:val="0"/>
        <w:adjustRightInd w:val="0"/>
        <w:spacing w:before="100" w:beforeAutospacing="1" w:afterAutospacing="1"/>
        <w:contextualSpacing/>
        <w:rPr>
          <w:rFonts w:cs="Times New Roman"/>
        </w:rPr>
      </w:pPr>
      <w:r>
        <w:rPr>
          <w:rFonts w:cs="Times New Roman"/>
        </w:rPr>
        <w:t>Providing improved access to meaningful data will likely lead to improved district-level decisions making in the area of talent management. DEED will continue to provide data on rates of access to inexperienced and out-of-field teachers, and will provide data on rates of access to ineffective teachers in the future.</w:t>
      </w:r>
    </w:p>
    <w:p w14:paraId="3B0FADD5" w14:textId="7664E272" w:rsidR="007E5090" w:rsidRDefault="007E5090" w:rsidP="00A92E69">
      <w:pPr>
        <w:numPr>
          <w:ilvl w:val="0"/>
          <w:numId w:val="58"/>
        </w:numPr>
        <w:autoSpaceDE w:val="0"/>
        <w:autoSpaceDN w:val="0"/>
        <w:adjustRightInd w:val="0"/>
        <w:spacing w:before="100" w:beforeAutospacing="1"/>
        <w:contextualSpacing/>
        <w:rPr>
          <w:rFonts w:cs="Times New Roman"/>
        </w:rPr>
      </w:pPr>
      <w:r>
        <w:rPr>
          <w:rFonts w:cs="Times New Roman"/>
        </w:rPr>
        <w:t>Stakeholder engagement will continue to be a critical component of reviewing and revising Alaska’s plan.</w:t>
      </w:r>
    </w:p>
    <w:p w14:paraId="17501C70" w14:textId="4969E8EC" w:rsidR="00080D72" w:rsidRDefault="00080D72">
      <w:pPr>
        <w:spacing w:after="160"/>
        <w:rPr>
          <w:rFonts w:cs="Times New Roman"/>
        </w:rPr>
      </w:pPr>
      <w:r>
        <w:rPr>
          <w:rFonts w:cs="Times New Roman"/>
        </w:rPr>
        <w:br w:type="page"/>
      </w:r>
    </w:p>
    <w:p w14:paraId="22AA7285" w14:textId="77777777" w:rsidR="007E5090" w:rsidRPr="00A92E69" w:rsidRDefault="007E5090" w:rsidP="00A92E69">
      <w:pPr>
        <w:rPr>
          <w:b/>
        </w:rPr>
      </w:pPr>
      <w:r w:rsidRPr="00A92E69">
        <w:rPr>
          <w:b/>
        </w:rPr>
        <w:lastRenderedPageBreak/>
        <w:t>Key Strategies: Awareness, Preparation, Recruitment and Support</w:t>
      </w:r>
    </w:p>
    <w:p w14:paraId="6DD18F69" w14:textId="77777777" w:rsidR="007E5090" w:rsidRPr="00857B08" w:rsidRDefault="007E5090" w:rsidP="00A92E69">
      <w:r w:rsidRPr="00857B08">
        <w:t xml:space="preserve">DEED has identified four strategic areas: awareness of access to excellent teachers, preparation of teachers, recruitment of teachers, and support of teachers and leaders (retention). </w:t>
      </w:r>
      <w:r>
        <w:t>W</w:t>
      </w:r>
      <w:r w:rsidRPr="00857B08">
        <w:t xml:space="preserve">orking collaboratively with </w:t>
      </w:r>
      <w:r>
        <w:t>Alaska’s</w:t>
      </w:r>
      <w:r w:rsidRPr="00857B08">
        <w:t xml:space="preserve"> districts and other stakeholder groups</w:t>
      </w:r>
      <w:r>
        <w:t>, D</w:t>
      </w:r>
      <w:r w:rsidRPr="00857B08">
        <w:t xml:space="preserve">EED will continue to seek out and share strategies that improve teacher retention rates. The following are key strategies </w:t>
      </w:r>
      <w:r>
        <w:t xml:space="preserve">and two sample activities </w:t>
      </w:r>
      <w:r w:rsidRPr="00857B08">
        <w:t>that will be used to increase equity across Alaska:</w:t>
      </w:r>
    </w:p>
    <w:p w14:paraId="574FD4F1" w14:textId="77777777" w:rsidR="007E5090" w:rsidRPr="00B42FAA" w:rsidRDefault="007E5090" w:rsidP="00424E73">
      <w:pPr>
        <w:autoSpaceDE w:val="0"/>
        <w:autoSpaceDN w:val="0"/>
        <w:adjustRightInd w:val="0"/>
        <w:contextualSpacing/>
        <w:jc w:val="center"/>
        <w:rPr>
          <w:rFonts w:cs="Times New Roman"/>
          <w:b/>
        </w:rPr>
      </w:pPr>
      <w:r w:rsidRPr="00B42FAA">
        <w:rPr>
          <w:noProof/>
        </w:rPr>
        <w:drawing>
          <wp:inline distT="0" distB="0" distL="0" distR="0" wp14:anchorId="371FA458" wp14:editId="49CC6CD8">
            <wp:extent cx="5429250" cy="5162550"/>
            <wp:effectExtent l="0" t="0" r="0" b="0"/>
            <wp:docPr id="7" name="Diagram 7" descr="The four key stragegies: Awareness, Preparation, Recuitment, and Support&#10;&#10;Awareness includes public reporting of disproportionate access and ongoing data collection and analysis.&#10;&#10;Preparation inculdes support of Alaska's Educators Rising, PITAS, and ANSEP. It also includes collaboration with Alaska universities and colleges.&#10;&#10;Recruitment includes identification and mitigation of certification barriers, examination of existing recruitment and hiring efforts for efficacy.&#10;&#10;Support includes continued coordination with the Alaska Statewide Mentor Program and the State System of Support and oversight of districts' EES system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79808426" w14:textId="77777777" w:rsidR="00080D72" w:rsidRDefault="00080D72">
      <w:pPr>
        <w:spacing w:after="160"/>
        <w:rPr>
          <w:rFonts w:ascii="Calibri" w:hAnsi="Calibri" w:cs="Times New Roman"/>
          <w:b/>
          <w:color w:val="000000"/>
          <w:sz w:val="24"/>
          <w:szCs w:val="24"/>
        </w:rPr>
      </w:pPr>
      <w:r>
        <w:rPr>
          <w:rFonts w:ascii="Calibri" w:hAnsi="Calibri"/>
          <w:b/>
        </w:rPr>
        <w:br w:type="page"/>
      </w:r>
    </w:p>
    <w:p w14:paraId="6D83F1AC" w14:textId="68FAD314" w:rsidR="007E5090" w:rsidRPr="00DF6724" w:rsidRDefault="007E5090" w:rsidP="00A92E69">
      <w:pPr>
        <w:pStyle w:val="Default"/>
        <w:spacing w:after="120"/>
        <w:rPr>
          <w:rFonts w:ascii="Calibri" w:hAnsi="Calibri"/>
          <w:b/>
          <w:szCs w:val="22"/>
        </w:rPr>
      </w:pPr>
      <w:r w:rsidRPr="00DF6724">
        <w:rPr>
          <w:rFonts w:ascii="Calibri" w:hAnsi="Calibri"/>
          <w:b/>
        </w:rPr>
        <w:lastRenderedPageBreak/>
        <w:t xml:space="preserve">Approach to </w:t>
      </w:r>
      <w:r>
        <w:rPr>
          <w:rFonts w:ascii="Calibri" w:hAnsi="Calibri"/>
          <w:b/>
        </w:rPr>
        <w:t>A</w:t>
      </w:r>
      <w:r w:rsidRPr="00DF6724">
        <w:rPr>
          <w:rFonts w:ascii="Calibri" w:hAnsi="Calibri"/>
          <w:b/>
        </w:rPr>
        <w:t xml:space="preserve">ddress </w:t>
      </w:r>
      <w:r>
        <w:rPr>
          <w:rFonts w:ascii="Calibri" w:hAnsi="Calibri"/>
          <w:b/>
        </w:rPr>
        <w:t>D</w:t>
      </w:r>
      <w:r w:rsidRPr="00DF6724">
        <w:rPr>
          <w:rFonts w:ascii="Calibri" w:hAnsi="Calibri"/>
          <w:b/>
        </w:rPr>
        <w:t>isproportionality</w:t>
      </w:r>
      <w:r>
        <w:rPr>
          <w:rFonts w:ascii="Calibri" w:hAnsi="Calibri"/>
          <w:b/>
        </w:rPr>
        <w:t xml:space="preserve"> of Inexperienced and Out-of-Field Teachers</w:t>
      </w:r>
    </w:p>
    <w:p w14:paraId="6E29387A" w14:textId="77777777" w:rsidR="007E5090" w:rsidRPr="009B17B0" w:rsidRDefault="007E5090" w:rsidP="00A92E69">
      <w:r>
        <w:t>T</w:t>
      </w:r>
      <w:r w:rsidRPr="00B42FAA">
        <w:t xml:space="preserve">here </w:t>
      </w:r>
      <w:r>
        <w:t>have been</w:t>
      </w:r>
      <w:r w:rsidRPr="00B42FAA">
        <w:t xml:space="preserve"> disproportional rates of access to inexperienced and out-of-field teachers</w:t>
      </w:r>
      <w:r>
        <w:t xml:space="preserve"> in Alaska</w:t>
      </w:r>
      <w:r w:rsidRPr="00B42FAA">
        <w:t xml:space="preserve">. </w:t>
      </w:r>
      <w:r>
        <w:t xml:space="preserve">Alaska will continue to implement and refine the approaches outlined in Alaska’s Equity Plan. </w:t>
      </w:r>
      <w:r w:rsidRPr="00B42FAA">
        <w:t>After the data</w:t>
      </w:r>
      <w:r>
        <w:t xml:space="preserve"> on ineffective teachers</w:t>
      </w:r>
      <w:r w:rsidRPr="00B42FAA">
        <w:t xml:space="preserve"> is available, Alaska will </w:t>
      </w:r>
      <w:r>
        <w:t xml:space="preserve">begin to </w:t>
      </w:r>
      <w:r w:rsidRPr="00B42FAA">
        <w:t xml:space="preserve">address any disproportional rates of access to ineffective teachers. In Title II, Part A, there are </w:t>
      </w:r>
      <w:r>
        <w:t xml:space="preserve">planned </w:t>
      </w:r>
      <w:r w:rsidRPr="00B42FAA">
        <w:t xml:space="preserve">actions to improve equitable access </w:t>
      </w:r>
      <w:r>
        <w:t>to effective teachers in Title I</w:t>
      </w:r>
      <w:r w:rsidRPr="00B42FAA">
        <w:t xml:space="preserve">, Part </w:t>
      </w:r>
      <w:proofErr w:type="gramStart"/>
      <w:r w:rsidRPr="00B42FAA">
        <w:t>A</w:t>
      </w:r>
      <w:proofErr w:type="gramEnd"/>
      <w:r w:rsidRPr="00B42FAA">
        <w:t xml:space="preserve"> Schools, as described below.</w:t>
      </w:r>
    </w:p>
    <w:p w14:paraId="3E689C07" w14:textId="77777777" w:rsidR="007E5090" w:rsidRDefault="007E5090" w:rsidP="007C4E6E">
      <w:pPr>
        <w:autoSpaceDE w:val="0"/>
        <w:autoSpaceDN w:val="0"/>
        <w:adjustRightInd w:val="0"/>
        <w:rPr>
          <w:rFonts w:ascii="Calibri" w:eastAsia="MS Mincho" w:hAnsi="Calibri" w:cs="Calibri"/>
          <w:color w:val="000000"/>
          <w:szCs w:val="24"/>
        </w:rPr>
      </w:pPr>
      <w:r w:rsidRPr="00C32381">
        <w:rPr>
          <w:rFonts w:eastAsia="Times New Roman" w:cstheme="minorHAnsi"/>
          <w:noProof/>
          <w:color w:val="2F2F49"/>
          <w:szCs w:val="24"/>
        </w:rPr>
        <w:drawing>
          <wp:inline distT="0" distB="0" distL="0" distR="0" wp14:anchorId="4CFD6CBF" wp14:editId="4EB2510C">
            <wp:extent cx="5695950" cy="2030095"/>
            <wp:effectExtent l="0" t="0" r="0" b="0"/>
            <wp:docPr id="12" name="Diagram 12" descr="Alaska's approach to Address Disportionate Access &#10;&#10;Phase 1: Awareness&#10;Share the Alaska Equity Plan with stakeholders to allow for further engagement and improvement.&#10;&#10;Phase 2: Support&#10;Support the districts identified with challenges in equitable access to effective teachers.&#10;&#10;Phase 3: Review&#10;Analyze the implementation of the Alaska Equity Plan and make improvements as nee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4E368E2F" w14:textId="77777777" w:rsidR="007E5090" w:rsidRDefault="007E5090" w:rsidP="007C4E6E">
      <w:pPr>
        <w:autoSpaceDE w:val="0"/>
        <w:autoSpaceDN w:val="0"/>
        <w:adjustRightInd w:val="0"/>
        <w:rPr>
          <w:rFonts w:ascii="Calibri" w:eastAsia="MS Mincho" w:hAnsi="Calibri" w:cs="Calibri"/>
          <w:color w:val="000000"/>
          <w:szCs w:val="24"/>
        </w:rPr>
      </w:pPr>
      <w:r w:rsidRPr="00554EF8">
        <w:rPr>
          <w:rFonts w:ascii="Calibri" w:eastAsia="MS Mincho" w:hAnsi="Calibri" w:cs="Calibri"/>
          <w:color w:val="000000"/>
          <w:szCs w:val="24"/>
        </w:rPr>
        <w:t xml:space="preserve">DEED will be using the multi-phase approach to address any </w:t>
      </w:r>
      <w:r>
        <w:rPr>
          <w:rFonts w:ascii="Calibri" w:eastAsia="MS Mincho" w:hAnsi="Calibri" w:cs="Calibri"/>
          <w:color w:val="000000"/>
          <w:szCs w:val="24"/>
        </w:rPr>
        <w:t xml:space="preserve">of </w:t>
      </w:r>
      <w:r w:rsidRPr="00554EF8">
        <w:rPr>
          <w:rFonts w:ascii="Calibri" w:eastAsia="MS Mincho" w:hAnsi="Calibri" w:cs="Calibri"/>
          <w:color w:val="000000"/>
          <w:szCs w:val="24"/>
        </w:rPr>
        <w:t xml:space="preserve">Alaska’s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 xml:space="preserve">ccess to </w:t>
      </w:r>
      <w:r>
        <w:rPr>
          <w:rFonts w:ascii="Calibri" w:eastAsia="MS Mincho" w:hAnsi="Calibri" w:cs="Calibri"/>
          <w:color w:val="000000"/>
          <w:szCs w:val="24"/>
        </w:rPr>
        <w:t>e</w:t>
      </w:r>
      <w:r w:rsidRPr="00554EF8">
        <w:rPr>
          <w:rFonts w:ascii="Calibri" w:eastAsia="MS Mincho" w:hAnsi="Calibri" w:cs="Calibri"/>
          <w:color w:val="000000"/>
          <w:szCs w:val="24"/>
        </w:rPr>
        <w:t xml:space="preserve">ducators for low-income and minority children enrolled in schools assisted under Title I, Part A. </w:t>
      </w:r>
    </w:p>
    <w:p w14:paraId="1DF99285" w14:textId="77777777" w:rsidR="007E5090" w:rsidRPr="00554EF8" w:rsidRDefault="007E5090" w:rsidP="006641B6">
      <w:pPr>
        <w:numPr>
          <w:ilvl w:val="0"/>
          <w:numId w:val="58"/>
        </w:numPr>
        <w:autoSpaceDE w:val="0"/>
        <w:autoSpaceDN w:val="0"/>
        <w:adjustRightInd w:val="0"/>
        <w:contextualSpacing/>
        <w:rPr>
          <w:rFonts w:ascii="Calibri" w:eastAsia="MS Mincho" w:hAnsi="Calibri" w:cs="Calibri"/>
          <w:color w:val="000000"/>
          <w:szCs w:val="24"/>
        </w:rPr>
      </w:pPr>
      <w:r w:rsidRPr="00554EF8">
        <w:rPr>
          <w:rFonts w:ascii="Calibri" w:eastAsia="MS Mincho" w:hAnsi="Calibri" w:cs="Calibri"/>
          <w:color w:val="000000"/>
          <w:szCs w:val="24"/>
        </w:rPr>
        <w:t xml:space="preserve">Phase </w:t>
      </w:r>
      <w:r>
        <w:rPr>
          <w:rFonts w:ascii="Calibri" w:eastAsia="MS Mincho" w:hAnsi="Calibri" w:cs="Calibri"/>
          <w:color w:val="000000"/>
          <w:szCs w:val="24"/>
        </w:rPr>
        <w:t>1</w:t>
      </w:r>
      <w:r w:rsidRPr="00554EF8">
        <w:rPr>
          <w:rFonts w:ascii="Calibri" w:eastAsia="MS Mincho" w:hAnsi="Calibri" w:cs="Calibri"/>
          <w:color w:val="000000"/>
          <w:szCs w:val="24"/>
        </w:rPr>
        <w:t xml:space="preserve">: Awareness - Share Alaska’s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ccess to Educators for low-income and minority children enrolled in schools assisted under Title I, Part A.</w:t>
      </w:r>
    </w:p>
    <w:p w14:paraId="0A76ABF2" w14:textId="77777777" w:rsidR="007E5090" w:rsidRPr="00554EF8" w:rsidRDefault="007E5090" w:rsidP="006641B6">
      <w:pPr>
        <w:numPr>
          <w:ilvl w:val="0"/>
          <w:numId w:val="58"/>
        </w:numPr>
        <w:autoSpaceDE w:val="0"/>
        <w:autoSpaceDN w:val="0"/>
        <w:adjustRightInd w:val="0"/>
        <w:contextualSpacing/>
        <w:rPr>
          <w:rFonts w:ascii="Calibri" w:eastAsia="MS Mincho" w:hAnsi="Calibri" w:cs="Calibri"/>
          <w:color w:val="000000"/>
          <w:szCs w:val="24"/>
        </w:rPr>
      </w:pPr>
      <w:r w:rsidRPr="00554EF8">
        <w:rPr>
          <w:rFonts w:ascii="Calibri" w:eastAsia="MS Mincho" w:hAnsi="Calibri" w:cs="Calibri"/>
          <w:color w:val="000000"/>
          <w:szCs w:val="24"/>
        </w:rPr>
        <w:t xml:space="preserve">Phase 2: Support – Identify districts with challenges in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 xml:space="preserve">ccess to </w:t>
      </w:r>
      <w:r>
        <w:rPr>
          <w:rFonts w:ascii="Calibri" w:eastAsia="MS Mincho" w:hAnsi="Calibri" w:cs="Calibri"/>
          <w:color w:val="000000"/>
          <w:szCs w:val="24"/>
        </w:rPr>
        <w:t>e</w:t>
      </w:r>
      <w:r w:rsidRPr="00554EF8">
        <w:rPr>
          <w:rFonts w:ascii="Calibri" w:eastAsia="MS Mincho" w:hAnsi="Calibri" w:cs="Calibri"/>
          <w:color w:val="000000"/>
          <w:szCs w:val="24"/>
        </w:rPr>
        <w:t>ducators for low-income and minority children and provide support.</w:t>
      </w:r>
      <w:r>
        <w:rPr>
          <w:rFonts w:ascii="Calibri" w:eastAsia="MS Mincho" w:hAnsi="Calibri" w:cs="Calibri"/>
          <w:color w:val="000000"/>
          <w:szCs w:val="24"/>
        </w:rPr>
        <w:t xml:space="preserve"> </w:t>
      </w:r>
      <w:r>
        <w:t>I</w:t>
      </w:r>
      <w:r w:rsidRPr="00D87AEB">
        <w:t xml:space="preserve">dentify areas where DEED can provide technical assistance and </w:t>
      </w:r>
      <w:r>
        <w:t xml:space="preserve">help districts </w:t>
      </w:r>
      <w:r w:rsidRPr="00D87AEB">
        <w:t>access necessary resources.</w:t>
      </w:r>
    </w:p>
    <w:p w14:paraId="68DB95BE" w14:textId="7DE4BB52" w:rsidR="00A92E69" w:rsidRPr="00A92E69" w:rsidRDefault="007E5090" w:rsidP="00A92E69">
      <w:pPr>
        <w:numPr>
          <w:ilvl w:val="0"/>
          <w:numId w:val="58"/>
        </w:numPr>
        <w:autoSpaceDE w:val="0"/>
        <w:autoSpaceDN w:val="0"/>
        <w:adjustRightInd w:val="0"/>
        <w:contextualSpacing/>
      </w:pPr>
      <w:r w:rsidRPr="00A92E69">
        <w:rPr>
          <w:rFonts w:ascii="Calibri" w:eastAsia="MS Mincho" w:hAnsi="Calibri" w:cs="Calibri"/>
          <w:color w:val="000000"/>
          <w:szCs w:val="24"/>
        </w:rPr>
        <w:t xml:space="preserve">Phase 3: Review - Review the Alaska Equity Plan and make necessary adjustments, and engage stakeholders to review the initial root causes and strategies for improving Alaska’s Disproportionate Rate of Access to Educators for low-income and minority children enrolled in schools assisted under Title I, Part A. </w:t>
      </w:r>
    </w:p>
    <w:p w14:paraId="4AF34282" w14:textId="77777777" w:rsidR="00A92E69" w:rsidRPr="00A92E69" w:rsidRDefault="00A92E69" w:rsidP="00A92E69">
      <w:pPr>
        <w:autoSpaceDE w:val="0"/>
        <w:autoSpaceDN w:val="0"/>
        <w:adjustRightInd w:val="0"/>
        <w:contextualSpacing/>
      </w:pPr>
    </w:p>
    <w:p w14:paraId="5E76EB2A" w14:textId="1838E3FD" w:rsidR="007E5090" w:rsidRPr="00A92E69" w:rsidRDefault="007E5090" w:rsidP="00A92E69">
      <w:pPr>
        <w:autoSpaceDE w:val="0"/>
        <w:autoSpaceDN w:val="0"/>
        <w:adjustRightInd w:val="0"/>
        <w:spacing w:before="120"/>
        <w:contextualSpacing/>
        <w:rPr>
          <w:b/>
        </w:rPr>
      </w:pPr>
      <w:r w:rsidRPr="00A92E69">
        <w:rPr>
          <w:b/>
        </w:rPr>
        <w:t xml:space="preserve">Measuring and Reporting Progress on Rates of Disproportionality </w:t>
      </w:r>
    </w:p>
    <w:p w14:paraId="179F3F62" w14:textId="5097BA61" w:rsidR="007E5090" w:rsidRPr="001E6AFD" w:rsidRDefault="007E5090" w:rsidP="00A92E69">
      <w:r w:rsidRPr="001E6AFD">
        <w:t xml:space="preserve">DEED will use the following </w:t>
      </w:r>
      <w:r>
        <w:t xml:space="preserve">tables </w:t>
      </w:r>
      <w:r w:rsidRPr="001C329F">
        <w:t>to</w:t>
      </w:r>
      <w:r w:rsidRPr="001E6AFD">
        <w:t xml:space="preserve"> </w:t>
      </w:r>
      <w:r>
        <w:t>measure and report</w:t>
      </w:r>
      <w:r w:rsidRPr="001E6AFD">
        <w:t xml:space="preserve"> progress </w:t>
      </w:r>
      <w:r>
        <w:t>with respect to reducing d</w:t>
      </w:r>
      <w:r w:rsidRPr="001E6AFD">
        <w:t xml:space="preserve">isproportionate </w:t>
      </w:r>
      <w:r>
        <w:t>r</w:t>
      </w:r>
      <w:r w:rsidRPr="001E6AFD">
        <w:t xml:space="preserve">ates of </w:t>
      </w:r>
      <w:r>
        <w:t>a</w:t>
      </w:r>
      <w:r w:rsidRPr="001E6AFD">
        <w:t xml:space="preserve">ccess to </w:t>
      </w:r>
      <w:r w:rsidR="00080D72" w:rsidRPr="006C519F">
        <w:t xml:space="preserve">excellent </w:t>
      </w:r>
      <w:r>
        <w:t>e</w:t>
      </w:r>
      <w:r w:rsidRPr="001E6AFD">
        <w:t>ducators for low-income and minority children enrolled in schools assisted under Title I, Part A</w:t>
      </w:r>
      <w:r>
        <w:t xml:space="preserve">. The rates will be calculated as the percentage of teachers in each category in all schools in the highest and lowest quartiles statewide for low-income and minority students. . The rates will also be calculated for teachers in Title I schools and in Non-Title I schools. </w:t>
      </w:r>
    </w:p>
    <w:p w14:paraId="22ECE2B1" w14:textId="1F4ABA2C" w:rsidR="007E5090" w:rsidRDefault="007E5090" w:rsidP="00347F41">
      <w:pPr>
        <w:autoSpaceDE w:val="0"/>
        <w:autoSpaceDN w:val="0"/>
        <w:adjustRightInd w:val="0"/>
        <w:rPr>
          <w:rFonts w:ascii="Calibri" w:eastAsia="MS Mincho" w:hAnsi="Calibri" w:cs="Calibri"/>
          <w:color w:val="000000"/>
          <w:szCs w:val="24"/>
        </w:rPr>
      </w:pPr>
      <w:r>
        <w:rPr>
          <w:rFonts w:ascii="Calibri" w:eastAsia="MS Mincho" w:hAnsi="Calibri" w:cs="Calibri"/>
          <w:color w:val="000000"/>
          <w:szCs w:val="24"/>
        </w:rPr>
        <w:t xml:space="preserve">DEED will publicly report this information on the department’s </w:t>
      </w:r>
      <w:hyperlink r:id="rId58" w:history="1">
        <w:r w:rsidR="00080D72">
          <w:rPr>
            <w:rStyle w:val="Hyperlink"/>
            <w:rFonts w:ascii="Calibri" w:eastAsia="MS Mincho" w:hAnsi="Calibri" w:cs="Calibri"/>
            <w:szCs w:val="24"/>
          </w:rPr>
          <w:t>website</w:t>
        </w:r>
      </w:hyperlink>
      <w:r w:rsidR="00C50B56">
        <w:rPr>
          <w:rFonts w:ascii="Calibri" w:eastAsia="MS Mincho" w:hAnsi="Calibri" w:cs="Calibri"/>
          <w:color w:val="000000"/>
          <w:szCs w:val="24"/>
        </w:rPr>
        <w:t xml:space="preserve"> (</w:t>
      </w:r>
      <w:hyperlink r:id="rId59" w:history="1">
        <w:r w:rsidRPr="00C50B56">
          <w:rPr>
            <w:rStyle w:val="Hyperlink"/>
            <w:color w:val="auto"/>
            <w:spacing w:val="-1"/>
            <w:u w:val="none"/>
          </w:rPr>
          <w:t>education.alaska.gov</w:t>
        </w:r>
      </w:hyperlink>
      <w:r w:rsidR="00C50B56" w:rsidRPr="00C50B56">
        <w:rPr>
          <w:rStyle w:val="Hyperlink"/>
          <w:color w:val="auto"/>
          <w:spacing w:val="-1"/>
          <w:u w:val="none"/>
        </w:rPr>
        <w:t>)</w:t>
      </w:r>
      <w:r>
        <w:rPr>
          <w:rFonts w:ascii="Calibri" w:eastAsia="MS Mincho" w:hAnsi="Calibri" w:cs="Calibri"/>
          <w:color w:val="000000"/>
          <w:szCs w:val="24"/>
        </w:rPr>
        <w:t>. As with all reporting done by DEED, extra care will be taken to protect educator privacy using data suppression rules similar to those used for reporting student data.</w:t>
      </w:r>
    </w:p>
    <w:p w14:paraId="10D4F763" w14:textId="33443477" w:rsidR="00080D72" w:rsidRDefault="00080D72">
      <w:pPr>
        <w:spacing w:after="160"/>
        <w:rPr>
          <w:rFonts w:ascii="Calibri" w:eastAsia="MS Mincho" w:hAnsi="Calibri" w:cs="Calibri"/>
          <w:color w:val="000000"/>
          <w:szCs w:val="24"/>
        </w:rPr>
      </w:pPr>
      <w:r>
        <w:rPr>
          <w:rFonts w:ascii="Calibri" w:eastAsia="MS Mincho" w:hAnsi="Calibri" w:cs="Calibri"/>
          <w:color w:val="000000"/>
          <w:szCs w:val="24"/>
        </w:rPr>
        <w:br w:type="page"/>
      </w:r>
    </w:p>
    <w:p w14:paraId="373BD11B" w14:textId="77777777" w:rsidR="007E5090" w:rsidRPr="00DB4320" w:rsidRDefault="007E5090" w:rsidP="00987664">
      <w:pPr>
        <w:pStyle w:val="BodyText"/>
        <w:spacing w:before="56"/>
        <w:ind w:right="372"/>
        <w:jc w:val="center"/>
        <w:rPr>
          <w:b/>
          <w:spacing w:val="-1"/>
        </w:rPr>
      </w:pPr>
      <w:r w:rsidRPr="00DB4320">
        <w:rPr>
          <w:b/>
          <w:spacing w:val="-1"/>
        </w:rPr>
        <w:lastRenderedPageBreak/>
        <w:t>Inexperienced Teachers</w:t>
      </w:r>
    </w:p>
    <w:p w14:paraId="0CD1C5C3" w14:textId="643BE549" w:rsidR="007E5090" w:rsidRDefault="007E5090" w:rsidP="00987664">
      <w:pPr>
        <w:pStyle w:val="BodyText"/>
        <w:spacing w:line="266" w:lineRule="exact"/>
        <w:ind w:right="394"/>
        <w:rPr>
          <w:spacing w:val="-1"/>
        </w:rPr>
      </w:pPr>
      <w:r>
        <w:rPr>
          <w:spacing w:val="-1"/>
        </w:rPr>
        <w:t xml:space="preserve">Data from the 2016-2017 </w:t>
      </w:r>
      <w:r w:rsidR="00080D72" w:rsidRPr="006C519F">
        <w:rPr>
          <w:spacing w:val="-1"/>
        </w:rPr>
        <w:t>and 2017-2018</w:t>
      </w:r>
      <w:r w:rsidR="00080D72">
        <w:rPr>
          <w:spacing w:val="-1"/>
        </w:rPr>
        <w:t xml:space="preserve"> </w:t>
      </w:r>
      <w:r>
        <w:rPr>
          <w:spacing w:val="-1"/>
        </w:rPr>
        <w:t>school year</w:t>
      </w:r>
      <w:r w:rsidR="00080D72" w:rsidRPr="006C519F">
        <w:rPr>
          <w:spacing w:val="-1"/>
        </w:rPr>
        <w:t>s are</w:t>
      </w:r>
      <w:r w:rsidR="0016672C" w:rsidRPr="006C519F">
        <w:rPr>
          <w:spacing w:val="-1"/>
        </w:rPr>
        <w:t xml:space="preserve"> </w:t>
      </w:r>
      <w:r>
        <w:rPr>
          <w:spacing w:val="-1"/>
        </w:rPr>
        <w:t>available, and reported as shown in the following tables.</w:t>
      </w:r>
      <w:r w:rsidRPr="00FC5A3F">
        <w:rPr>
          <w:spacing w:val="-1"/>
        </w:rPr>
        <w:t xml:space="preserve"> </w:t>
      </w:r>
      <w:r>
        <w:rPr>
          <w:spacing w:val="-1"/>
        </w:rPr>
        <w:t xml:space="preserve">There are duplicated counts in this table for teachers who were assigned to more than one school. Teachers were not reported who were assigned to schools with no enrollment (includes shared-time status schools where students are enrolled in their school of attendance) or assigned to the district office rather than a school. </w:t>
      </w:r>
    </w:p>
    <w:p w14:paraId="1FA25A05" w14:textId="77777777" w:rsidR="007E5090" w:rsidRDefault="007E5090" w:rsidP="00987664">
      <w:pPr>
        <w:ind w:left="1126" w:right="1128"/>
        <w:jc w:val="center"/>
        <w:rPr>
          <w:rFonts w:ascii="Calibri" w:eastAsia="Calibri" w:hAnsi="Calibri" w:cs="Calibri"/>
        </w:rPr>
      </w:pPr>
      <w:r>
        <w:rPr>
          <w:rFonts w:ascii="Calibri"/>
          <w:b/>
          <w:spacing w:val="-1"/>
        </w:rPr>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Inexperienced Teachers (2016-17)</w:t>
      </w:r>
    </w:p>
    <w:tbl>
      <w:tblPr>
        <w:tblW w:w="9979" w:type="dxa"/>
        <w:tblInd w:w="-5" w:type="dxa"/>
        <w:tblLayout w:type="fixed"/>
        <w:tblLook w:val="04A0" w:firstRow="1" w:lastRow="0" w:firstColumn="1" w:lastColumn="0" w:noHBand="0" w:noVBand="1"/>
      </w:tblPr>
      <w:tblGrid>
        <w:gridCol w:w="1305"/>
        <w:gridCol w:w="848"/>
        <w:gridCol w:w="978"/>
        <w:gridCol w:w="978"/>
        <w:gridCol w:w="978"/>
        <w:gridCol w:w="979"/>
        <w:gridCol w:w="978"/>
        <w:gridCol w:w="978"/>
        <w:gridCol w:w="978"/>
        <w:gridCol w:w="979"/>
      </w:tblGrid>
      <w:tr w:rsidR="006C519F" w:rsidRPr="00E83D8D" w14:paraId="0C82E460" w14:textId="77777777" w:rsidTr="00EA3B61">
        <w:trPr>
          <w:trHeight w:val="2574"/>
        </w:trPr>
        <w:tc>
          <w:tcPr>
            <w:tcW w:w="1305" w:type="dxa"/>
            <w:tcBorders>
              <w:top w:val="single" w:sz="4" w:space="0" w:color="auto"/>
              <w:left w:val="single" w:sz="4" w:space="0" w:color="auto"/>
              <w:bottom w:val="single" w:sz="4" w:space="0" w:color="auto"/>
              <w:right w:val="single" w:sz="4" w:space="0" w:color="auto"/>
            </w:tcBorders>
            <w:vAlign w:val="center"/>
            <w:hideMark/>
          </w:tcPr>
          <w:p w14:paraId="3540B38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School type</w:t>
            </w:r>
          </w:p>
        </w:tc>
        <w:tc>
          <w:tcPr>
            <w:tcW w:w="848"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0E3312DD"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 xml:space="preserve"> High poverty quartile </w:t>
            </w:r>
            <w:r>
              <w:rPr>
                <w:rFonts w:ascii="Calibri" w:eastAsia="Times New Roman" w:hAnsi="Calibri" w:cs="Calibri"/>
                <w:color w:val="000000"/>
              </w:rPr>
              <w:br/>
            </w:r>
            <w:r w:rsidRPr="00E83D8D">
              <w:rPr>
                <w:rFonts w:ascii="Calibri" w:eastAsia="Times New Roman" w:hAnsi="Calibri" w:cs="Calibri"/>
                <w:color w:val="000000"/>
              </w:rPr>
              <w:t># inexperienced teachers</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676833"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High poverty quartile</w:t>
            </w:r>
            <w:r>
              <w:rPr>
                <w:rFonts w:ascii="Calibri" w:eastAsia="Times New Roman" w:hAnsi="Calibri" w:cs="Calibri"/>
                <w:color w:val="000000"/>
              </w:rPr>
              <w:br/>
            </w:r>
            <w:r w:rsidRPr="00E83D8D">
              <w:rPr>
                <w:rFonts w:ascii="Calibri" w:eastAsia="Times New Roman" w:hAnsi="Calibri" w:cs="Calibri"/>
                <w:color w:val="000000"/>
              </w:rPr>
              <w:t xml:space="preserve"> Total teachers</w:t>
            </w:r>
          </w:p>
        </w:tc>
        <w:tc>
          <w:tcPr>
            <w:tcW w:w="978" w:type="dxa"/>
            <w:tcBorders>
              <w:top w:val="single" w:sz="4" w:space="0" w:color="auto"/>
              <w:left w:val="nil"/>
              <w:bottom w:val="single" w:sz="4" w:space="0" w:color="auto"/>
              <w:right w:val="double" w:sz="4" w:space="0" w:color="auto"/>
            </w:tcBorders>
            <w:shd w:val="clear" w:color="auto" w:fill="auto"/>
            <w:textDirection w:val="btLr"/>
            <w:vAlign w:val="center"/>
            <w:hideMark/>
          </w:tcPr>
          <w:p w14:paraId="1215440C"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High poverty quartile</w:t>
            </w:r>
            <w:r w:rsidRPr="00E83D8D">
              <w:rPr>
                <w:rFonts w:ascii="Calibri" w:eastAsia="Times New Roman" w:hAnsi="Calibri" w:cs="Calibri"/>
                <w:color w:val="000000"/>
              </w:rPr>
              <w:t xml:space="preserve"> </w:t>
            </w:r>
            <w:r>
              <w:rPr>
                <w:rFonts w:ascii="Calibri" w:eastAsia="Times New Roman" w:hAnsi="Calibri" w:cs="Calibri"/>
                <w:color w:val="000000"/>
              </w:rPr>
              <w:br/>
            </w:r>
            <w:r w:rsidRPr="00E83D8D">
              <w:rPr>
                <w:rFonts w:ascii="Calibri" w:eastAsia="Times New Roman" w:hAnsi="Calibri" w:cs="Calibri"/>
                <w:color w:val="000000"/>
              </w:rPr>
              <w:t>% inexperienced</w:t>
            </w:r>
          </w:p>
        </w:tc>
        <w:tc>
          <w:tcPr>
            <w:tcW w:w="978"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4E039D4"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poverty quartile</w:t>
            </w:r>
            <w:r>
              <w:rPr>
                <w:rFonts w:ascii="Calibri" w:eastAsia="Times New Roman" w:hAnsi="Calibri" w:cs="Calibri"/>
                <w:color w:val="000000"/>
              </w:rPr>
              <w:br/>
            </w:r>
            <w:r w:rsidRPr="00E83D8D">
              <w:rPr>
                <w:rFonts w:ascii="Calibri" w:eastAsia="Times New Roman" w:hAnsi="Calibri" w:cs="Calibri"/>
                <w:color w:val="000000"/>
              </w:rPr>
              <w:t xml:space="preserve"> # inexperienced teachers</w:t>
            </w:r>
          </w:p>
        </w:tc>
        <w:tc>
          <w:tcPr>
            <w:tcW w:w="9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176012"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poverty quartile</w:t>
            </w:r>
            <w:r>
              <w:rPr>
                <w:rFonts w:ascii="Calibri" w:eastAsia="Times New Roman" w:hAnsi="Calibri" w:cs="Calibri"/>
                <w:color w:val="000000"/>
              </w:rPr>
              <w:br/>
            </w:r>
            <w:r w:rsidRPr="00E83D8D">
              <w:rPr>
                <w:rFonts w:ascii="Calibri" w:eastAsia="Times New Roman" w:hAnsi="Calibri" w:cs="Calibri"/>
                <w:color w:val="000000"/>
              </w:rPr>
              <w:t xml:space="preserve"> Total teachers</w:t>
            </w:r>
          </w:p>
        </w:tc>
        <w:tc>
          <w:tcPr>
            <w:tcW w:w="978" w:type="dxa"/>
            <w:tcBorders>
              <w:top w:val="single" w:sz="4" w:space="0" w:color="auto"/>
              <w:left w:val="nil"/>
              <w:bottom w:val="single" w:sz="4" w:space="0" w:color="auto"/>
              <w:right w:val="double" w:sz="4" w:space="0" w:color="auto"/>
            </w:tcBorders>
            <w:shd w:val="clear" w:color="auto" w:fill="auto"/>
            <w:textDirection w:val="btLr"/>
            <w:vAlign w:val="center"/>
            <w:hideMark/>
          </w:tcPr>
          <w:p w14:paraId="50CD5526"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poverty quartile</w:t>
            </w:r>
            <w:r w:rsidRPr="00E83D8D">
              <w:rPr>
                <w:rFonts w:ascii="Calibri" w:eastAsia="Times New Roman" w:hAnsi="Calibri" w:cs="Calibri"/>
                <w:color w:val="000000"/>
              </w:rPr>
              <w:t xml:space="preserve"> % inexperienced</w:t>
            </w:r>
          </w:p>
        </w:tc>
        <w:tc>
          <w:tcPr>
            <w:tcW w:w="978"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70487F0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Pr="00E83D8D">
              <w:rPr>
                <w:rFonts w:ascii="Calibri" w:eastAsia="Times New Roman" w:hAnsi="Calibri" w:cs="Calibri"/>
                <w:color w:val="000000"/>
              </w:rPr>
              <w:t># inexperienced teachers</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3D07EE"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Pr="00E83D8D">
              <w:rPr>
                <w:rFonts w:ascii="Calibri" w:eastAsia="Times New Roman" w:hAnsi="Calibri" w:cs="Calibri"/>
                <w:color w:val="000000"/>
              </w:rPr>
              <w:t>Total teachers</w:t>
            </w:r>
          </w:p>
        </w:tc>
        <w:tc>
          <w:tcPr>
            <w:tcW w:w="9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6602B6"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Pr="00E83D8D">
              <w:rPr>
                <w:rFonts w:ascii="Calibri" w:eastAsia="Times New Roman" w:hAnsi="Calibri" w:cs="Calibri"/>
                <w:color w:val="000000"/>
              </w:rPr>
              <w:t>% inexperienced</w:t>
            </w:r>
          </w:p>
        </w:tc>
      </w:tr>
      <w:tr w:rsidR="006C519F" w:rsidRPr="00E83D8D" w14:paraId="2C0B164C" w14:textId="77777777" w:rsidTr="00EA3B61">
        <w:trPr>
          <w:trHeight w:val="471"/>
        </w:trPr>
        <w:tc>
          <w:tcPr>
            <w:tcW w:w="1305" w:type="dxa"/>
            <w:tcBorders>
              <w:top w:val="nil"/>
              <w:left w:val="single" w:sz="4" w:space="0" w:color="auto"/>
              <w:bottom w:val="single" w:sz="4" w:space="0" w:color="auto"/>
              <w:right w:val="nil"/>
            </w:tcBorders>
            <w:shd w:val="clear" w:color="auto" w:fill="F2F2F2" w:themeFill="background1" w:themeFillShade="F2"/>
            <w:vAlign w:val="center"/>
            <w:hideMark/>
          </w:tcPr>
          <w:p w14:paraId="147FEBB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848"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A820E0B"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123</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3A617192"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1,438</w:t>
            </w:r>
          </w:p>
        </w:tc>
        <w:tc>
          <w:tcPr>
            <w:tcW w:w="97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474EC302"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8.6%</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339BFCD1"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6</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023EB6A5"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68</w:t>
            </w:r>
          </w:p>
        </w:tc>
        <w:tc>
          <w:tcPr>
            <w:tcW w:w="97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3AF18DD1"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8.8%</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5FDA5568"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244</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560B566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3,784</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0BFE0B7B"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6.4%</w:t>
            </w:r>
          </w:p>
        </w:tc>
      </w:tr>
      <w:tr w:rsidR="006C519F" w:rsidRPr="00E83D8D" w14:paraId="497CCA46" w14:textId="77777777" w:rsidTr="00EA3B61">
        <w:trPr>
          <w:trHeight w:val="471"/>
        </w:trPr>
        <w:tc>
          <w:tcPr>
            <w:tcW w:w="1305" w:type="dxa"/>
            <w:tcBorders>
              <w:top w:val="nil"/>
              <w:left w:val="single" w:sz="4" w:space="0" w:color="auto"/>
              <w:bottom w:val="single" w:sz="4" w:space="0" w:color="auto"/>
              <w:right w:val="nil"/>
            </w:tcBorders>
            <w:shd w:val="clear" w:color="auto" w:fill="auto"/>
            <w:vAlign w:val="center"/>
            <w:hideMark/>
          </w:tcPr>
          <w:p w14:paraId="40632652"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848" w:type="dxa"/>
            <w:tcBorders>
              <w:top w:val="nil"/>
              <w:left w:val="single" w:sz="8" w:space="0" w:color="auto"/>
              <w:bottom w:val="single" w:sz="4" w:space="0" w:color="auto"/>
              <w:right w:val="single" w:sz="4" w:space="0" w:color="auto"/>
            </w:tcBorders>
            <w:shd w:val="clear" w:color="auto" w:fill="auto"/>
            <w:vAlign w:val="center"/>
            <w:hideMark/>
          </w:tcPr>
          <w:p w14:paraId="36C1E0EC"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w:t>
            </w:r>
          </w:p>
        </w:tc>
        <w:tc>
          <w:tcPr>
            <w:tcW w:w="978" w:type="dxa"/>
            <w:tcBorders>
              <w:top w:val="nil"/>
              <w:left w:val="nil"/>
              <w:bottom w:val="single" w:sz="4" w:space="0" w:color="auto"/>
              <w:right w:val="single" w:sz="4" w:space="0" w:color="auto"/>
            </w:tcBorders>
            <w:shd w:val="clear" w:color="auto" w:fill="auto"/>
            <w:vAlign w:val="center"/>
            <w:hideMark/>
          </w:tcPr>
          <w:p w14:paraId="46DE7C0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85</w:t>
            </w:r>
          </w:p>
        </w:tc>
        <w:tc>
          <w:tcPr>
            <w:tcW w:w="978" w:type="dxa"/>
            <w:tcBorders>
              <w:top w:val="single" w:sz="4" w:space="0" w:color="auto"/>
              <w:left w:val="nil"/>
              <w:bottom w:val="single" w:sz="4" w:space="0" w:color="auto"/>
              <w:right w:val="double" w:sz="4" w:space="0" w:color="auto"/>
            </w:tcBorders>
            <w:shd w:val="clear" w:color="auto" w:fill="auto"/>
            <w:vAlign w:val="center"/>
            <w:hideMark/>
          </w:tcPr>
          <w:p w14:paraId="6047E3A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3.5%</w:t>
            </w:r>
          </w:p>
        </w:tc>
        <w:tc>
          <w:tcPr>
            <w:tcW w:w="978" w:type="dxa"/>
            <w:tcBorders>
              <w:top w:val="nil"/>
              <w:left w:val="double" w:sz="4" w:space="0" w:color="auto"/>
              <w:bottom w:val="single" w:sz="4" w:space="0" w:color="auto"/>
              <w:right w:val="single" w:sz="4" w:space="0" w:color="auto"/>
            </w:tcBorders>
            <w:shd w:val="clear" w:color="auto" w:fill="auto"/>
            <w:vAlign w:val="center"/>
            <w:hideMark/>
          </w:tcPr>
          <w:p w14:paraId="40F5DE87"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75</w:t>
            </w:r>
          </w:p>
        </w:tc>
        <w:tc>
          <w:tcPr>
            <w:tcW w:w="979" w:type="dxa"/>
            <w:tcBorders>
              <w:top w:val="nil"/>
              <w:left w:val="nil"/>
              <w:bottom w:val="single" w:sz="4" w:space="0" w:color="auto"/>
              <w:right w:val="single" w:sz="4" w:space="0" w:color="auto"/>
            </w:tcBorders>
            <w:shd w:val="clear" w:color="auto" w:fill="auto"/>
            <w:vAlign w:val="center"/>
            <w:hideMark/>
          </w:tcPr>
          <w:p w14:paraId="3366BEDB"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2,418</w:t>
            </w:r>
          </w:p>
        </w:tc>
        <w:tc>
          <w:tcPr>
            <w:tcW w:w="978" w:type="dxa"/>
            <w:tcBorders>
              <w:top w:val="single" w:sz="4" w:space="0" w:color="auto"/>
              <w:left w:val="nil"/>
              <w:bottom w:val="single" w:sz="4" w:space="0" w:color="auto"/>
              <w:right w:val="double" w:sz="4" w:space="0" w:color="auto"/>
            </w:tcBorders>
            <w:shd w:val="clear" w:color="auto" w:fill="auto"/>
            <w:vAlign w:val="center"/>
            <w:hideMark/>
          </w:tcPr>
          <w:p w14:paraId="07B49AEC"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3.1%</w:t>
            </w:r>
          </w:p>
        </w:tc>
        <w:tc>
          <w:tcPr>
            <w:tcW w:w="978" w:type="dxa"/>
            <w:tcBorders>
              <w:top w:val="nil"/>
              <w:left w:val="double" w:sz="4" w:space="0" w:color="auto"/>
              <w:bottom w:val="single" w:sz="4" w:space="0" w:color="auto"/>
              <w:right w:val="single" w:sz="4" w:space="0" w:color="auto"/>
            </w:tcBorders>
            <w:shd w:val="clear" w:color="auto" w:fill="auto"/>
            <w:vAlign w:val="center"/>
            <w:hideMark/>
          </w:tcPr>
          <w:p w14:paraId="36A80E86"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142</w:t>
            </w:r>
          </w:p>
        </w:tc>
        <w:tc>
          <w:tcPr>
            <w:tcW w:w="978" w:type="dxa"/>
            <w:tcBorders>
              <w:top w:val="nil"/>
              <w:left w:val="nil"/>
              <w:bottom w:val="single" w:sz="4" w:space="0" w:color="auto"/>
              <w:right w:val="single" w:sz="4" w:space="0" w:color="auto"/>
            </w:tcBorders>
            <w:shd w:val="clear" w:color="auto" w:fill="auto"/>
            <w:vAlign w:val="center"/>
            <w:hideMark/>
          </w:tcPr>
          <w:p w14:paraId="68420CC2"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4,583</w:t>
            </w:r>
          </w:p>
        </w:tc>
        <w:tc>
          <w:tcPr>
            <w:tcW w:w="979" w:type="dxa"/>
            <w:tcBorders>
              <w:top w:val="nil"/>
              <w:left w:val="nil"/>
              <w:bottom w:val="single" w:sz="4" w:space="0" w:color="auto"/>
              <w:right w:val="single" w:sz="4" w:space="0" w:color="auto"/>
            </w:tcBorders>
            <w:shd w:val="clear" w:color="auto" w:fill="auto"/>
            <w:vAlign w:val="center"/>
            <w:hideMark/>
          </w:tcPr>
          <w:p w14:paraId="48F065C3"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3.1%</w:t>
            </w:r>
          </w:p>
        </w:tc>
      </w:tr>
      <w:tr w:rsidR="006C519F" w:rsidRPr="00E83D8D" w14:paraId="63F4196B" w14:textId="77777777" w:rsidTr="00EA3B61">
        <w:trPr>
          <w:trHeight w:val="471"/>
        </w:trPr>
        <w:tc>
          <w:tcPr>
            <w:tcW w:w="1305" w:type="dxa"/>
            <w:tcBorders>
              <w:top w:val="nil"/>
              <w:left w:val="single" w:sz="4" w:space="0" w:color="auto"/>
              <w:bottom w:val="single" w:sz="4" w:space="0" w:color="auto"/>
              <w:right w:val="nil"/>
            </w:tcBorders>
            <w:shd w:val="clear" w:color="auto" w:fill="F2F2F2" w:themeFill="background1" w:themeFillShade="F2"/>
            <w:vAlign w:val="center"/>
            <w:hideMark/>
          </w:tcPr>
          <w:p w14:paraId="5368B08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848"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72480CDE"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126</w:t>
            </w:r>
          </w:p>
        </w:tc>
        <w:tc>
          <w:tcPr>
            <w:tcW w:w="978" w:type="dxa"/>
            <w:tcBorders>
              <w:top w:val="nil"/>
              <w:left w:val="nil"/>
              <w:bottom w:val="single" w:sz="8" w:space="0" w:color="auto"/>
              <w:right w:val="single" w:sz="4" w:space="0" w:color="auto"/>
            </w:tcBorders>
            <w:shd w:val="clear" w:color="auto" w:fill="F2F2F2" w:themeFill="background1" w:themeFillShade="F2"/>
            <w:vAlign w:val="center"/>
            <w:hideMark/>
          </w:tcPr>
          <w:p w14:paraId="51228FD7"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1,523</w:t>
            </w:r>
          </w:p>
        </w:tc>
        <w:tc>
          <w:tcPr>
            <w:tcW w:w="978"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35F51A3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8.3%</w:t>
            </w:r>
          </w:p>
        </w:tc>
        <w:tc>
          <w:tcPr>
            <w:tcW w:w="978"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16FBE4DC"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81</w:t>
            </w:r>
          </w:p>
        </w:tc>
        <w:tc>
          <w:tcPr>
            <w:tcW w:w="979" w:type="dxa"/>
            <w:tcBorders>
              <w:top w:val="nil"/>
              <w:left w:val="nil"/>
              <w:bottom w:val="single" w:sz="8" w:space="0" w:color="auto"/>
              <w:right w:val="single" w:sz="4" w:space="0" w:color="auto"/>
            </w:tcBorders>
            <w:shd w:val="clear" w:color="auto" w:fill="F2F2F2" w:themeFill="background1" w:themeFillShade="F2"/>
            <w:vAlign w:val="center"/>
            <w:hideMark/>
          </w:tcPr>
          <w:p w14:paraId="588791D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2,486</w:t>
            </w:r>
          </w:p>
        </w:tc>
        <w:tc>
          <w:tcPr>
            <w:tcW w:w="978"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63F25DE9"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3.3%</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6409A31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386</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60C17A79"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8,367</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79844FBE"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4.6%</w:t>
            </w:r>
          </w:p>
        </w:tc>
      </w:tr>
    </w:tbl>
    <w:p w14:paraId="089E4E3C" w14:textId="77777777" w:rsidR="007E5090" w:rsidRDefault="007E5090" w:rsidP="00424E73">
      <w:pPr>
        <w:rPr>
          <w:rFonts w:eastAsia="MS Mincho" w:cs="Calibri"/>
          <w:color w:val="000000"/>
        </w:rPr>
      </w:pPr>
    </w:p>
    <w:p w14:paraId="48E5F69B" w14:textId="77777777" w:rsidR="0016672C" w:rsidRPr="006C519F" w:rsidRDefault="0016672C" w:rsidP="0016672C">
      <w:pPr>
        <w:ind w:left="1126" w:right="1128"/>
        <w:jc w:val="center"/>
        <w:rPr>
          <w:rFonts w:ascii="Calibri" w:eastAsia="Calibri" w:hAnsi="Calibri" w:cs="Calibri"/>
        </w:rPr>
      </w:pPr>
      <w:r w:rsidRPr="006C519F">
        <w:rPr>
          <w:rFonts w:ascii="Calibri"/>
          <w:b/>
          <w:spacing w:val="-1"/>
        </w:rPr>
        <w:t>Economically</w:t>
      </w:r>
      <w:r w:rsidRPr="006C519F">
        <w:rPr>
          <w:rFonts w:ascii="Calibri"/>
          <w:b/>
          <w:spacing w:val="1"/>
        </w:rPr>
        <w:t xml:space="preserve"> </w:t>
      </w:r>
      <w:r w:rsidRPr="006C519F">
        <w:rPr>
          <w:rFonts w:ascii="Calibri"/>
          <w:b/>
          <w:spacing w:val="-1"/>
        </w:rPr>
        <w:t>Disadvantaged (Low Income)</w:t>
      </w:r>
      <w:r w:rsidRPr="006C519F">
        <w:rPr>
          <w:rFonts w:ascii="Calibri"/>
          <w:b/>
          <w:spacing w:val="1"/>
        </w:rPr>
        <w:t xml:space="preserve"> </w:t>
      </w:r>
      <w:r w:rsidRPr="006C519F">
        <w:rPr>
          <w:rFonts w:ascii="Calibri"/>
          <w:b/>
          <w:spacing w:val="-1"/>
        </w:rPr>
        <w:t>Students</w:t>
      </w:r>
      <w:r w:rsidRPr="006C519F">
        <w:rPr>
          <w:rFonts w:ascii="Calibri"/>
          <w:b/>
          <w:spacing w:val="-2"/>
        </w:rPr>
        <w:t xml:space="preserve"> </w:t>
      </w:r>
      <w:r w:rsidRPr="006C519F">
        <w:rPr>
          <w:rFonts w:ascii="Calibri"/>
          <w:b/>
          <w:spacing w:val="-1"/>
        </w:rPr>
        <w:t>Disproportionate Rate of</w:t>
      </w:r>
      <w:r w:rsidRPr="006C519F">
        <w:rPr>
          <w:rFonts w:ascii="Calibri"/>
          <w:b/>
          <w:spacing w:val="30"/>
        </w:rPr>
        <w:t xml:space="preserve"> </w:t>
      </w:r>
      <w:r w:rsidRPr="006C519F">
        <w:rPr>
          <w:rFonts w:ascii="Calibri"/>
          <w:b/>
          <w:spacing w:val="-1"/>
        </w:rPr>
        <w:t>Access</w:t>
      </w:r>
      <w:r w:rsidRPr="006C519F">
        <w:rPr>
          <w:rFonts w:ascii="Calibri"/>
          <w:b/>
          <w:spacing w:val="-2"/>
        </w:rPr>
        <w:t xml:space="preserve"> </w:t>
      </w:r>
      <w:r w:rsidRPr="006C519F">
        <w:rPr>
          <w:rFonts w:ascii="Calibri"/>
          <w:b/>
        </w:rPr>
        <w:t>to</w:t>
      </w:r>
      <w:r w:rsidRPr="006C519F">
        <w:rPr>
          <w:rFonts w:ascii="Calibri"/>
          <w:b/>
          <w:spacing w:val="-1"/>
        </w:rPr>
        <w:t xml:space="preserve"> Inexperienced Teachers (2017-18)</w:t>
      </w:r>
    </w:p>
    <w:tbl>
      <w:tblPr>
        <w:tblW w:w="9831" w:type="dxa"/>
        <w:tblInd w:w="-5" w:type="dxa"/>
        <w:tblLayout w:type="fixed"/>
        <w:tblLook w:val="04A0" w:firstRow="1" w:lastRow="0" w:firstColumn="1" w:lastColumn="0" w:noHBand="0" w:noVBand="1"/>
      </w:tblPr>
      <w:tblGrid>
        <w:gridCol w:w="1208"/>
        <w:gridCol w:w="958"/>
        <w:gridCol w:w="958"/>
        <w:gridCol w:w="958"/>
        <w:gridCol w:w="958"/>
        <w:gridCol w:w="958"/>
        <w:gridCol w:w="958"/>
        <w:gridCol w:w="958"/>
        <w:gridCol w:w="958"/>
        <w:gridCol w:w="959"/>
      </w:tblGrid>
      <w:tr w:rsidR="006C519F" w:rsidRPr="006C519F" w14:paraId="5226278D" w14:textId="77777777" w:rsidTr="00ED6A6E">
        <w:trPr>
          <w:trHeight w:val="2501"/>
        </w:trPr>
        <w:tc>
          <w:tcPr>
            <w:tcW w:w="1208" w:type="dxa"/>
            <w:tcBorders>
              <w:top w:val="single" w:sz="4" w:space="0" w:color="auto"/>
              <w:left w:val="single" w:sz="4" w:space="0" w:color="auto"/>
              <w:bottom w:val="single" w:sz="4" w:space="0" w:color="auto"/>
              <w:right w:val="nil"/>
            </w:tcBorders>
            <w:shd w:val="clear" w:color="auto" w:fill="auto"/>
            <w:vAlign w:val="center"/>
          </w:tcPr>
          <w:p w14:paraId="39327FEF"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School type</w:t>
            </w:r>
          </w:p>
        </w:tc>
        <w:tc>
          <w:tcPr>
            <w:tcW w:w="958" w:type="dxa"/>
            <w:tcBorders>
              <w:top w:val="single" w:sz="4" w:space="0" w:color="auto"/>
              <w:left w:val="single" w:sz="8" w:space="0" w:color="auto"/>
              <w:bottom w:val="single" w:sz="4" w:space="0" w:color="auto"/>
              <w:right w:val="single" w:sz="4" w:space="0" w:color="auto"/>
            </w:tcBorders>
            <w:shd w:val="clear" w:color="auto" w:fill="auto"/>
            <w:textDirection w:val="btLr"/>
            <w:vAlign w:val="center"/>
          </w:tcPr>
          <w:p w14:paraId="6162D5AE"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 xml:space="preserve"> High poverty quartile </w:t>
            </w:r>
            <w:r w:rsidRPr="006C519F">
              <w:rPr>
                <w:rFonts w:ascii="Calibri" w:eastAsia="Times New Roman" w:hAnsi="Calibri" w:cs="Calibri"/>
              </w:rPr>
              <w:br/>
              <w:t>#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27AC5698"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High poverty quartile</w:t>
            </w:r>
            <w:r w:rsidRPr="006C519F">
              <w:rPr>
                <w:rFonts w:ascii="Calibri" w:eastAsia="Times New Roman" w:hAnsi="Calibri" w:cs="Calibri"/>
              </w:rPr>
              <w:br/>
              <w:t xml:space="preserve"> Total teachers</w:t>
            </w:r>
          </w:p>
        </w:tc>
        <w:tc>
          <w:tcPr>
            <w:tcW w:w="958" w:type="dxa"/>
            <w:tcBorders>
              <w:top w:val="single" w:sz="4" w:space="0" w:color="auto"/>
              <w:left w:val="nil"/>
              <w:bottom w:val="single" w:sz="4" w:space="0" w:color="auto"/>
              <w:right w:val="double" w:sz="4" w:space="0" w:color="auto"/>
            </w:tcBorders>
            <w:shd w:val="clear" w:color="auto" w:fill="auto"/>
            <w:textDirection w:val="btLr"/>
            <w:vAlign w:val="center"/>
          </w:tcPr>
          <w:p w14:paraId="1982CBA7"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 xml:space="preserve">High poverty quartile </w:t>
            </w:r>
            <w:r w:rsidRPr="006C519F">
              <w:rPr>
                <w:rFonts w:ascii="Calibri" w:eastAsia="Times New Roman" w:hAnsi="Calibri" w:cs="Calibri"/>
              </w:rPr>
              <w:br/>
              <w:t>% inexperienced</w:t>
            </w:r>
          </w:p>
        </w:tc>
        <w:tc>
          <w:tcPr>
            <w:tcW w:w="95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49CB959E"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Low poverty quartile</w:t>
            </w:r>
            <w:r w:rsidRPr="006C519F">
              <w:rPr>
                <w:rFonts w:ascii="Calibri" w:eastAsia="Times New Roman" w:hAnsi="Calibri" w:cs="Calibri"/>
              </w:rPr>
              <w:br/>
              <w:t xml:space="preserve"> #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2237A0F9"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Low poverty quartile</w:t>
            </w:r>
            <w:r w:rsidRPr="006C519F">
              <w:rPr>
                <w:rFonts w:ascii="Calibri" w:eastAsia="Times New Roman" w:hAnsi="Calibri" w:cs="Calibri"/>
              </w:rPr>
              <w:br/>
              <w:t xml:space="preserve"> Total teachers</w:t>
            </w:r>
          </w:p>
        </w:tc>
        <w:tc>
          <w:tcPr>
            <w:tcW w:w="958" w:type="dxa"/>
            <w:tcBorders>
              <w:top w:val="single" w:sz="4" w:space="0" w:color="auto"/>
              <w:left w:val="nil"/>
              <w:bottom w:val="single" w:sz="4" w:space="0" w:color="auto"/>
              <w:right w:val="double" w:sz="4" w:space="0" w:color="auto"/>
            </w:tcBorders>
            <w:shd w:val="clear" w:color="auto" w:fill="auto"/>
            <w:textDirection w:val="btLr"/>
            <w:vAlign w:val="center"/>
          </w:tcPr>
          <w:p w14:paraId="4B272A60"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Low poverty quartile</w:t>
            </w:r>
            <w:r w:rsidRPr="006C519F">
              <w:rPr>
                <w:rFonts w:ascii="Calibri" w:eastAsia="Times New Roman" w:hAnsi="Calibri" w:cs="Calibri"/>
              </w:rPr>
              <w:br/>
              <w:t xml:space="preserve"> % inexperienced</w:t>
            </w:r>
          </w:p>
        </w:tc>
        <w:tc>
          <w:tcPr>
            <w:tcW w:w="95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38918E60"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 xml:space="preserve">All schools </w:t>
            </w:r>
            <w:r w:rsidRPr="006C519F">
              <w:rPr>
                <w:rFonts w:ascii="Calibri" w:eastAsia="Times New Roman" w:hAnsi="Calibri" w:cs="Calibri"/>
              </w:rPr>
              <w:br/>
              <w:t>#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430FC920"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 xml:space="preserve">All schools </w:t>
            </w:r>
            <w:r w:rsidRPr="006C519F">
              <w:rPr>
                <w:rFonts w:ascii="Calibri" w:eastAsia="Times New Roman" w:hAnsi="Calibri" w:cs="Calibri"/>
              </w:rPr>
              <w:br/>
              <w:t>Total teachers</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14:paraId="4FA398B5" w14:textId="77777777" w:rsidR="0016672C" w:rsidRPr="006C519F" w:rsidRDefault="0016672C" w:rsidP="00ED6A6E">
            <w:pPr>
              <w:jc w:val="center"/>
              <w:rPr>
                <w:rFonts w:ascii="Calibri" w:eastAsia="Times New Roman" w:hAnsi="Calibri" w:cs="Calibri"/>
                <w:u w:val="single"/>
              </w:rPr>
            </w:pPr>
            <w:r w:rsidRPr="006C519F">
              <w:rPr>
                <w:rFonts w:ascii="Calibri" w:eastAsia="Times New Roman" w:hAnsi="Calibri" w:cs="Calibri"/>
              </w:rPr>
              <w:t xml:space="preserve">All schools </w:t>
            </w:r>
            <w:r w:rsidRPr="006C519F">
              <w:rPr>
                <w:rFonts w:ascii="Calibri" w:eastAsia="Times New Roman" w:hAnsi="Calibri" w:cs="Calibri"/>
              </w:rPr>
              <w:br/>
              <w:t>% inexperienced</w:t>
            </w:r>
          </w:p>
        </w:tc>
      </w:tr>
      <w:tr w:rsidR="006C519F" w:rsidRPr="006C519F" w14:paraId="414AB5CE" w14:textId="77777777" w:rsidTr="00ED6A6E">
        <w:trPr>
          <w:trHeight w:val="576"/>
        </w:trPr>
        <w:tc>
          <w:tcPr>
            <w:tcW w:w="1208"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CC8373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Title I</w:t>
            </w:r>
          </w:p>
        </w:tc>
        <w:tc>
          <w:tcPr>
            <w:tcW w:w="95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47FB47D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99.03</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00F86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1379.41</w:t>
            </w:r>
          </w:p>
        </w:tc>
        <w:tc>
          <w:tcPr>
            <w:tcW w:w="95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5646385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7.2%</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5EEC794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F4CB6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82.6</w:t>
            </w:r>
          </w:p>
        </w:tc>
        <w:tc>
          <w:tcPr>
            <w:tcW w:w="95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3A2BA32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1.2%</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371FEC1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221.15</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B1C43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3587.21</w:t>
            </w:r>
          </w:p>
        </w:tc>
        <w:tc>
          <w:tcPr>
            <w:tcW w:w="9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C0535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6.2%</w:t>
            </w:r>
          </w:p>
        </w:tc>
      </w:tr>
      <w:tr w:rsidR="006C519F" w:rsidRPr="006C519F" w14:paraId="67068D57" w14:textId="77777777" w:rsidTr="00ED6A6E">
        <w:trPr>
          <w:trHeight w:val="576"/>
        </w:trPr>
        <w:tc>
          <w:tcPr>
            <w:tcW w:w="1208" w:type="dxa"/>
            <w:tcBorders>
              <w:top w:val="nil"/>
              <w:left w:val="single" w:sz="4" w:space="0" w:color="auto"/>
              <w:bottom w:val="single" w:sz="4" w:space="0" w:color="auto"/>
              <w:right w:val="nil"/>
            </w:tcBorders>
            <w:shd w:val="clear" w:color="auto" w:fill="auto"/>
            <w:vAlign w:val="center"/>
            <w:hideMark/>
          </w:tcPr>
          <w:p w14:paraId="6A2D815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 xml:space="preserve">Non-Title I </w:t>
            </w:r>
          </w:p>
        </w:tc>
        <w:tc>
          <w:tcPr>
            <w:tcW w:w="958" w:type="dxa"/>
            <w:tcBorders>
              <w:top w:val="nil"/>
              <w:left w:val="single" w:sz="8" w:space="0" w:color="auto"/>
              <w:bottom w:val="single" w:sz="4" w:space="0" w:color="auto"/>
              <w:right w:val="single" w:sz="4" w:space="0" w:color="auto"/>
            </w:tcBorders>
            <w:shd w:val="clear" w:color="auto" w:fill="auto"/>
            <w:vAlign w:val="center"/>
            <w:hideMark/>
          </w:tcPr>
          <w:p w14:paraId="6EC6E65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 xml:space="preserve"> 9.5</w:t>
            </w:r>
          </w:p>
        </w:tc>
        <w:tc>
          <w:tcPr>
            <w:tcW w:w="958" w:type="dxa"/>
            <w:tcBorders>
              <w:top w:val="nil"/>
              <w:left w:val="nil"/>
              <w:bottom w:val="single" w:sz="4" w:space="0" w:color="auto"/>
              <w:right w:val="single" w:sz="4" w:space="0" w:color="auto"/>
            </w:tcBorders>
            <w:shd w:val="clear" w:color="auto" w:fill="auto"/>
            <w:vAlign w:val="center"/>
            <w:hideMark/>
          </w:tcPr>
          <w:p w14:paraId="5F7EFF8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179.81</w:t>
            </w:r>
          </w:p>
        </w:tc>
        <w:tc>
          <w:tcPr>
            <w:tcW w:w="958" w:type="dxa"/>
            <w:tcBorders>
              <w:top w:val="single" w:sz="4" w:space="0" w:color="auto"/>
              <w:left w:val="nil"/>
              <w:bottom w:val="single" w:sz="4" w:space="0" w:color="auto"/>
              <w:right w:val="double" w:sz="4" w:space="0" w:color="auto"/>
            </w:tcBorders>
            <w:shd w:val="clear" w:color="auto" w:fill="auto"/>
            <w:vAlign w:val="center"/>
            <w:hideMark/>
          </w:tcPr>
          <w:p w14:paraId="261EB8B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5.3%</w:t>
            </w:r>
          </w:p>
        </w:tc>
        <w:tc>
          <w:tcPr>
            <w:tcW w:w="958" w:type="dxa"/>
            <w:tcBorders>
              <w:top w:val="nil"/>
              <w:left w:val="double" w:sz="4" w:space="0" w:color="auto"/>
              <w:bottom w:val="single" w:sz="4" w:space="0" w:color="auto"/>
              <w:right w:val="single" w:sz="4" w:space="0" w:color="auto"/>
            </w:tcBorders>
            <w:shd w:val="clear" w:color="auto" w:fill="auto"/>
            <w:vAlign w:val="center"/>
            <w:hideMark/>
          </w:tcPr>
          <w:p w14:paraId="03A1EF7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54.65</w:t>
            </w:r>
          </w:p>
        </w:tc>
        <w:tc>
          <w:tcPr>
            <w:tcW w:w="958" w:type="dxa"/>
            <w:tcBorders>
              <w:top w:val="nil"/>
              <w:left w:val="nil"/>
              <w:bottom w:val="single" w:sz="4" w:space="0" w:color="auto"/>
              <w:right w:val="single" w:sz="4" w:space="0" w:color="auto"/>
            </w:tcBorders>
            <w:shd w:val="clear" w:color="auto" w:fill="auto"/>
            <w:vAlign w:val="center"/>
            <w:hideMark/>
          </w:tcPr>
          <w:p w14:paraId="766BB88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2106.1</w:t>
            </w:r>
          </w:p>
        </w:tc>
        <w:tc>
          <w:tcPr>
            <w:tcW w:w="958" w:type="dxa"/>
            <w:tcBorders>
              <w:top w:val="single" w:sz="4" w:space="0" w:color="auto"/>
              <w:left w:val="nil"/>
              <w:bottom w:val="single" w:sz="4" w:space="0" w:color="auto"/>
              <w:right w:val="double" w:sz="4" w:space="0" w:color="auto"/>
            </w:tcBorders>
            <w:shd w:val="clear" w:color="auto" w:fill="auto"/>
            <w:vAlign w:val="center"/>
            <w:hideMark/>
          </w:tcPr>
          <w:p w14:paraId="1D925A1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2.6%</w:t>
            </w:r>
          </w:p>
        </w:tc>
        <w:tc>
          <w:tcPr>
            <w:tcW w:w="958" w:type="dxa"/>
            <w:tcBorders>
              <w:top w:val="nil"/>
              <w:left w:val="double" w:sz="4" w:space="0" w:color="auto"/>
              <w:bottom w:val="single" w:sz="4" w:space="0" w:color="auto"/>
              <w:right w:val="single" w:sz="4" w:space="0" w:color="auto"/>
            </w:tcBorders>
            <w:shd w:val="clear" w:color="auto" w:fill="auto"/>
            <w:vAlign w:val="center"/>
            <w:hideMark/>
          </w:tcPr>
          <w:p w14:paraId="1297492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115.16</w:t>
            </w:r>
          </w:p>
        </w:tc>
        <w:tc>
          <w:tcPr>
            <w:tcW w:w="958" w:type="dxa"/>
            <w:tcBorders>
              <w:top w:val="nil"/>
              <w:left w:val="nil"/>
              <w:bottom w:val="single" w:sz="4" w:space="0" w:color="auto"/>
              <w:right w:val="single" w:sz="4" w:space="0" w:color="auto"/>
            </w:tcBorders>
            <w:shd w:val="clear" w:color="auto" w:fill="auto"/>
            <w:vAlign w:val="center"/>
            <w:hideMark/>
          </w:tcPr>
          <w:p w14:paraId="50DD148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4063.62</w:t>
            </w:r>
          </w:p>
        </w:tc>
        <w:tc>
          <w:tcPr>
            <w:tcW w:w="959" w:type="dxa"/>
            <w:tcBorders>
              <w:top w:val="nil"/>
              <w:left w:val="nil"/>
              <w:bottom w:val="single" w:sz="4" w:space="0" w:color="auto"/>
              <w:right w:val="single" w:sz="4" w:space="0" w:color="auto"/>
            </w:tcBorders>
            <w:shd w:val="clear" w:color="auto" w:fill="auto"/>
            <w:vAlign w:val="center"/>
            <w:hideMark/>
          </w:tcPr>
          <w:p w14:paraId="4C68AEC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2.8%</w:t>
            </w:r>
          </w:p>
        </w:tc>
      </w:tr>
      <w:tr w:rsidR="006C519F" w:rsidRPr="006C519F" w14:paraId="7EA75374" w14:textId="77777777" w:rsidTr="00ED6A6E">
        <w:trPr>
          <w:trHeight w:val="576"/>
        </w:trPr>
        <w:tc>
          <w:tcPr>
            <w:tcW w:w="12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693C8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All schools</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35BB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108.53</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3159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1559.22</w:t>
            </w:r>
          </w:p>
        </w:tc>
        <w:tc>
          <w:tcPr>
            <w:tcW w:w="958"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48FFFC1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7.0%</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1F7643E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55.65</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827C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2188.7</w:t>
            </w:r>
          </w:p>
        </w:tc>
        <w:tc>
          <w:tcPr>
            <w:tcW w:w="958"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14BAA08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2.5%</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56AC834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336.31</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6064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7650.83</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B9B7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4.4%</w:t>
            </w:r>
          </w:p>
        </w:tc>
      </w:tr>
    </w:tbl>
    <w:p w14:paraId="5E9F21F1" w14:textId="77777777" w:rsidR="0016672C" w:rsidRDefault="0016672C" w:rsidP="00987664">
      <w:pPr>
        <w:ind w:left="2223" w:right="2224"/>
        <w:jc w:val="center"/>
        <w:rPr>
          <w:rFonts w:ascii="Calibri"/>
          <w:b/>
          <w:spacing w:val="-1"/>
        </w:rPr>
      </w:pPr>
    </w:p>
    <w:p w14:paraId="28899339" w14:textId="77777777" w:rsidR="0016672C" w:rsidRDefault="0016672C">
      <w:pPr>
        <w:spacing w:after="160"/>
        <w:rPr>
          <w:rFonts w:ascii="Calibri"/>
          <w:b/>
          <w:spacing w:val="-1"/>
        </w:rPr>
      </w:pPr>
      <w:r>
        <w:rPr>
          <w:rFonts w:ascii="Calibri"/>
          <w:b/>
          <w:spacing w:val="-1"/>
        </w:rPr>
        <w:br w:type="page"/>
      </w:r>
    </w:p>
    <w:p w14:paraId="3C2C191B" w14:textId="052BD6D6" w:rsidR="007E5090" w:rsidRDefault="007E5090" w:rsidP="00987664">
      <w:pPr>
        <w:ind w:left="2223" w:right="2224"/>
        <w:jc w:val="center"/>
        <w:rPr>
          <w:rFonts w:ascii="Calibri"/>
          <w:b/>
          <w:spacing w:val="-1"/>
        </w:rPr>
      </w:pPr>
      <w:r>
        <w:rPr>
          <w:rFonts w:ascii="Calibri"/>
          <w:b/>
          <w:spacing w:val="-1"/>
        </w:rPr>
        <w:lastRenderedPageBreak/>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Inexperienced Teachers (2016-2017)</w:t>
      </w:r>
    </w:p>
    <w:tbl>
      <w:tblPr>
        <w:tblW w:w="9891" w:type="dxa"/>
        <w:tblInd w:w="-5" w:type="dxa"/>
        <w:tblLayout w:type="fixed"/>
        <w:tblLook w:val="04A0" w:firstRow="1" w:lastRow="0" w:firstColumn="1" w:lastColumn="0" w:noHBand="0" w:noVBand="1"/>
      </w:tblPr>
      <w:tblGrid>
        <w:gridCol w:w="1328"/>
        <w:gridCol w:w="951"/>
        <w:gridCol w:w="951"/>
        <w:gridCol w:w="952"/>
        <w:gridCol w:w="951"/>
        <w:gridCol w:w="952"/>
        <w:gridCol w:w="951"/>
        <w:gridCol w:w="952"/>
        <w:gridCol w:w="951"/>
        <w:gridCol w:w="952"/>
      </w:tblGrid>
      <w:tr w:rsidR="006C519F" w:rsidRPr="00E83D8D" w14:paraId="3395DE0E" w14:textId="77777777" w:rsidTr="00EA3B61">
        <w:trPr>
          <w:trHeight w:val="2444"/>
        </w:trPr>
        <w:tc>
          <w:tcPr>
            <w:tcW w:w="1328" w:type="dxa"/>
            <w:tcBorders>
              <w:top w:val="single" w:sz="4" w:space="0" w:color="auto"/>
              <w:left w:val="single" w:sz="4" w:space="0" w:color="auto"/>
              <w:bottom w:val="single" w:sz="4" w:space="0" w:color="auto"/>
              <w:right w:val="single" w:sz="4" w:space="0" w:color="auto"/>
            </w:tcBorders>
            <w:vAlign w:val="center"/>
            <w:hideMark/>
          </w:tcPr>
          <w:p w14:paraId="62EB8E8E"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School type</w:t>
            </w:r>
          </w:p>
        </w:tc>
        <w:tc>
          <w:tcPr>
            <w:tcW w:w="951"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01C8D9BF"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Pr="00E83D8D">
              <w:rPr>
                <w:rFonts w:ascii="Calibri" w:eastAsia="Times New Roman" w:hAnsi="Calibri" w:cs="Calibri"/>
                <w:color w:val="000000"/>
              </w:rPr>
              <w:t># inexperienced teachers</w:t>
            </w: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56270B"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Pr="00E83D8D">
              <w:rPr>
                <w:rFonts w:ascii="Calibri" w:eastAsia="Times New Roman" w:hAnsi="Calibri" w:cs="Calibri"/>
                <w:color w:val="000000"/>
              </w:rPr>
              <w:t>Total teachers</w:t>
            </w:r>
          </w:p>
        </w:tc>
        <w:tc>
          <w:tcPr>
            <w:tcW w:w="952" w:type="dxa"/>
            <w:tcBorders>
              <w:top w:val="single" w:sz="4" w:space="0" w:color="auto"/>
              <w:left w:val="nil"/>
              <w:bottom w:val="single" w:sz="4" w:space="0" w:color="auto"/>
              <w:right w:val="double" w:sz="4" w:space="0" w:color="auto"/>
            </w:tcBorders>
            <w:shd w:val="clear" w:color="auto" w:fill="auto"/>
            <w:textDirection w:val="btLr"/>
            <w:vAlign w:val="center"/>
            <w:hideMark/>
          </w:tcPr>
          <w:p w14:paraId="31247C62"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Pr="00E83D8D">
              <w:rPr>
                <w:rFonts w:ascii="Calibri" w:eastAsia="Times New Roman" w:hAnsi="Calibri" w:cs="Calibri"/>
                <w:color w:val="000000"/>
              </w:rPr>
              <w:t>% inexperienced</w:t>
            </w:r>
          </w:p>
        </w:tc>
        <w:tc>
          <w:tcPr>
            <w:tcW w:w="951"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FC48C99"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Pr="00E83D8D">
              <w:rPr>
                <w:rFonts w:ascii="Calibri" w:eastAsia="Times New Roman" w:hAnsi="Calibri" w:cs="Calibri"/>
                <w:color w:val="000000"/>
              </w:rPr>
              <w:t># inexperienced teachers</w:t>
            </w:r>
          </w:p>
        </w:tc>
        <w:tc>
          <w:tcPr>
            <w:tcW w:w="9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252B0FC"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Pr="00E83D8D">
              <w:rPr>
                <w:rFonts w:ascii="Calibri" w:eastAsia="Times New Roman" w:hAnsi="Calibri" w:cs="Calibri"/>
                <w:color w:val="000000"/>
              </w:rPr>
              <w:t>Total teachers</w:t>
            </w:r>
          </w:p>
        </w:tc>
        <w:tc>
          <w:tcPr>
            <w:tcW w:w="951" w:type="dxa"/>
            <w:tcBorders>
              <w:top w:val="single" w:sz="4" w:space="0" w:color="auto"/>
              <w:left w:val="nil"/>
              <w:bottom w:val="single" w:sz="4" w:space="0" w:color="auto"/>
              <w:right w:val="double" w:sz="4" w:space="0" w:color="auto"/>
            </w:tcBorders>
            <w:shd w:val="clear" w:color="auto" w:fill="auto"/>
            <w:textDirection w:val="btLr"/>
            <w:vAlign w:val="center"/>
            <w:hideMark/>
          </w:tcPr>
          <w:p w14:paraId="095C8080"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Pr="00E83D8D">
              <w:rPr>
                <w:rFonts w:ascii="Calibri" w:eastAsia="Times New Roman" w:hAnsi="Calibri" w:cs="Calibri"/>
                <w:color w:val="000000"/>
              </w:rPr>
              <w:t>% inexperienced</w:t>
            </w:r>
          </w:p>
        </w:tc>
        <w:tc>
          <w:tcPr>
            <w:tcW w:w="952"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CBA76E2"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Pr="00E83D8D">
              <w:rPr>
                <w:rFonts w:ascii="Calibri" w:eastAsia="Times New Roman" w:hAnsi="Calibri" w:cs="Calibri"/>
                <w:color w:val="000000"/>
              </w:rPr>
              <w:t># inexperienced teachers</w:t>
            </w: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6F8169"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Pr="00E83D8D">
              <w:rPr>
                <w:rFonts w:ascii="Calibri" w:eastAsia="Times New Roman" w:hAnsi="Calibri" w:cs="Calibri"/>
                <w:color w:val="000000"/>
              </w:rPr>
              <w:t>Total teachers</w:t>
            </w:r>
          </w:p>
        </w:tc>
        <w:tc>
          <w:tcPr>
            <w:tcW w:w="9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C473A8" w14:textId="77777777" w:rsidR="006C519F" w:rsidRPr="00E83D8D" w:rsidRDefault="006C519F" w:rsidP="00EA3B61">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Pr="00E83D8D">
              <w:rPr>
                <w:rFonts w:ascii="Calibri" w:eastAsia="Times New Roman" w:hAnsi="Calibri" w:cs="Calibri"/>
                <w:color w:val="000000"/>
              </w:rPr>
              <w:t>% inexperienced</w:t>
            </w:r>
          </w:p>
        </w:tc>
      </w:tr>
      <w:tr w:rsidR="006C519F" w:rsidRPr="00E83D8D" w14:paraId="0F8BCE30" w14:textId="77777777" w:rsidTr="00EA3B61">
        <w:trPr>
          <w:trHeight w:val="316"/>
        </w:trPr>
        <w:tc>
          <w:tcPr>
            <w:tcW w:w="1328" w:type="dxa"/>
            <w:tcBorders>
              <w:top w:val="nil"/>
              <w:left w:val="single" w:sz="4" w:space="0" w:color="auto"/>
              <w:bottom w:val="single" w:sz="4" w:space="0" w:color="auto"/>
              <w:right w:val="nil"/>
            </w:tcBorders>
            <w:shd w:val="clear" w:color="auto" w:fill="F2F2F2" w:themeFill="background1" w:themeFillShade="F2"/>
            <w:vAlign w:val="center"/>
            <w:hideMark/>
          </w:tcPr>
          <w:p w14:paraId="177499C1"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95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6F3B2C58"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109</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4C2124C1"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992</w:t>
            </w:r>
          </w:p>
        </w:tc>
        <w:tc>
          <w:tcPr>
            <w:tcW w:w="952"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2E8BD276"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11.0%</w:t>
            </w:r>
          </w:p>
        </w:tc>
        <w:tc>
          <w:tcPr>
            <w:tcW w:w="951"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4515C43F"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27</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6F167462"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669</w:t>
            </w:r>
          </w:p>
        </w:tc>
        <w:tc>
          <w:tcPr>
            <w:tcW w:w="951"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4B7BC917"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4.0%</w:t>
            </w:r>
          </w:p>
        </w:tc>
        <w:tc>
          <w:tcPr>
            <w:tcW w:w="95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66DE4A0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244</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78C9C93F"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3,784</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703A81A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6.4%</w:t>
            </w:r>
          </w:p>
        </w:tc>
      </w:tr>
      <w:tr w:rsidR="006C519F" w:rsidRPr="00E83D8D" w14:paraId="5E545817" w14:textId="77777777" w:rsidTr="00EA3B61">
        <w:trPr>
          <w:trHeight w:val="316"/>
        </w:trPr>
        <w:tc>
          <w:tcPr>
            <w:tcW w:w="1328" w:type="dxa"/>
            <w:tcBorders>
              <w:top w:val="nil"/>
              <w:left w:val="single" w:sz="4" w:space="0" w:color="auto"/>
              <w:bottom w:val="single" w:sz="4" w:space="0" w:color="auto"/>
              <w:right w:val="nil"/>
            </w:tcBorders>
            <w:shd w:val="clear" w:color="auto" w:fill="auto"/>
            <w:vAlign w:val="center"/>
            <w:hideMark/>
          </w:tcPr>
          <w:p w14:paraId="0171D30B"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951" w:type="dxa"/>
            <w:tcBorders>
              <w:top w:val="nil"/>
              <w:left w:val="single" w:sz="8" w:space="0" w:color="auto"/>
              <w:bottom w:val="single" w:sz="4" w:space="0" w:color="auto"/>
              <w:right w:val="single" w:sz="4" w:space="0" w:color="auto"/>
            </w:tcBorders>
            <w:shd w:val="clear" w:color="auto" w:fill="auto"/>
            <w:vAlign w:val="center"/>
            <w:hideMark/>
          </w:tcPr>
          <w:p w14:paraId="06BA0B0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w:t>
            </w:r>
          </w:p>
        </w:tc>
        <w:tc>
          <w:tcPr>
            <w:tcW w:w="951" w:type="dxa"/>
            <w:tcBorders>
              <w:top w:val="nil"/>
              <w:left w:val="nil"/>
              <w:bottom w:val="single" w:sz="4" w:space="0" w:color="auto"/>
              <w:right w:val="single" w:sz="4" w:space="0" w:color="auto"/>
            </w:tcBorders>
            <w:shd w:val="clear" w:color="auto" w:fill="auto"/>
            <w:vAlign w:val="center"/>
            <w:hideMark/>
          </w:tcPr>
          <w:p w14:paraId="2A464166"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92</w:t>
            </w:r>
          </w:p>
        </w:tc>
        <w:tc>
          <w:tcPr>
            <w:tcW w:w="952" w:type="dxa"/>
            <w:tcBorders>
              <w:top w:val="single" w:sz="4" w:space="0" w:color="auto"/>
              <w:left w:val="nil"/>
              <w:bottom w:val="single" w:sz="4" w:space="0" w:color="auto"/>
              <w:right w:val="double" w:sz="4" w:space="0" w:color="auto"/>
            </w:tcBorders>
            <w:shd w:val="clear" w:color="auto" w:fill="auto"/>
            <w:vAlign w:val="center"/>
            <w:hideMark/>
          </w:tcPr>
          <w:p w14:paraId="64479EF6"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8.7%</w:t>
            </w:r>
          </w:p>
        </w:tc>
        <w:tc>
          <w:tcPr>
            <w:tcW w:w="951" w:type="dxa"/>
            <w:tcBorders>
              <w:top w:val="nil"/>
              <w:left w:val="double" w:sz="4" w:space="0" w:color="auto"/>
              <w:bottom w:val="single" w:sz="4" w:space="0" w:color="auto"/>
              <w:right w:val="single" w:sz="4" w:space="0" w:color="auto"/>
            </w:tcBorders>
            <w:shd w:val="clear" w:color="auto" w:fill="auto"/>
            <w:vAlign w:val="center"/>
            <w:hideMark/>
          </w:tcPr>
          <w:p w14:paraId="2AAA2EB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49</w:t>
            </w:r>
          </w:p>
        </w:tc>
        <w:tc>
          <w:tcPr>
            <w:tcW w:w="952" w:type="dxa"/>
            <w:tcBorders>
              <w:top w:val="nil"/>
              <w:left w:val="nil"/>
              <w:bottom w:val="single" w:sz="4" w:space="0" w:color="auto"/>
              <w:right w:val="single" w:sz="4" w:space="0" w:color="auto"/>
            </w:tcBorders>
            <w:shd w:val="clear" w:color="auto" w:fill="auto"/>
            <w:vAlign w:val="center"/>
            <w:hideMark/>
          </w:tcPr>
          <w:p w14:paraId="5DCE7DC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1,537</w:t>
            </w:r>
          </w:p>
        </w:tc>
        <w:tc>
          <w:tcPr>
            <w:tcW w:w="951" w:type="dxa"/>
            <w:tcBorders>
              <w:top w:val="single" w:sz="4" w:space="0" w:color="auto"/>
              <w:left w:val="nil"/>
              <w:bottom w:val="single" w:sz="4" w:space="0" w:color="auto"/>
              <w:right w:val="double" w:sz="4" w:space="0" w:color="auto"/>
            </w:tcBorders>
            <w:shd w:val="clear" w:color="auto" w:fill="auto"/>
            <w:vAlign w:val="center"/>
            <w:hideMark/>
          </w:tcPr>
          <w:p w14:paraId="55BBA1E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3.2%</w:t>
            </w:r>
          </w:p>
        </w:tc>
        <w:tc>
          <w:tcPr>
            <w:tcW w:w="952" w:type="dxa"/>
            <w:tcBorders>
              <w:top w:val="nil"/>
              <w:left w:val="double" w:sz="4" w:space="0" w:color="auto"/>
              <w:bottom w:val="single" w:sz="4" w:space="0" w:color="auto"/>
              <w:right w:val="single" w:sz="4" w:space="0" w:color="auto"/>
            </w:tcBorders>
            <w:shd w:val="clear" w:color="auto" w:fill="auto"/>
            <w:vAlign w:val="center"/>
            <w:hideMark/>
          </w:tcPr>
          <w:p w14:paraId="1A3E91EE"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142</w:t>
            </w:r>
          </w:p>
        </w:tc>
        <w:tc>
          <w:tcPr>
            <w:tcW w:w="951" w:type="dxa"/>
            <w:tcBorders>
              <w:top w:val="nil"/>
              <w:left w:val="nil"/>
              <w:bottom w:val="single" w:sz="4" w:space="0" w:color="auto"/>
              <w:right w:val="single" w:sz="4" w:space="0" w:color="auto"/>
            </w:tcBorders>
            <w:shd w:val="clear" w:color="auto" w:fill="auto"/>
            <w:vAlign w:val="center"/>
            <w:hideMark/>
          </w:tcPr>
          <w:p w14:paraId="6D7112B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4,583</w:t>
            </w:r>
          </w:p>
        </w:tc>
        <w:tc>
          <w:tcPr>
            <w:tcW w:w="952" w:type="dxa"/>
            <w:tcBorders>
              <w:top w:val="nil"/>
              <w:left w:val="nil"/>
              <w:bottom w:val="single" w:sz="4" w:space="0" w:color="auto"/>
              <w:right w:val="single" w:sz="4" w:space="0" w:color="auto"/>
            </w:tcBorders>
            <w:shd w:val="clear" w:color="auto" w:fill="auto"/>
            <w:vAlign w:val="center"/>
            <w:hideMark/>
          </w:tcPr>
          <w:p w14:paraId="25E85D69"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3.1%</w:t>
            </w:r>
          </w:p>
        </w:tc>
      </w:tr>
      <w:tr w:rsidR="006C519F" w:rsidRPr="00E83D8D" w14:paraId="050664BC" w14:textId="77777777" w:rsidTr="00EA3B61">
        <w:trPr>
          <w:trHeight w:val="332"/>
        </w:trPr>
        <w:tc>
          <w:tcPr>
            <w:tcW w:w="1328" w:type="dxa"/>
            <w:tcBorders>
              <w:top w:val="nil"/>
              <w:left w:val="single" w:sz="4" w:space="0" w:color="auto"/>
              <w:bottom w:val="single" w:sz="4" w:space="0" w:color="auto"/>
              <w:right w:val="nil"/>
            </w:tcBorders>
            <w:shd w:val="clear" w:color="auto" w:fill="F2F2F2" w:themeFill="background1" w:themeFillShade="F2"/>
            <w:vAlign w:val="center"/>
            <w:hideMark/>
          </w:tcPr>
          <w:p w14:paraId="64C4471D"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951"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58E91EC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117</w:t>
            </w:r>
          </w:p>
        </w:tc>
        <w:tc>
          <w:tcPr>
            <w:tcW w:w="951" w:type="dxa"/>
            <w:tcBorders>
              <w:top w:val="nil"/>
              <w:left w:val="nil"/>
              <w:bottom w:val="single" w:sz="8" w:space="0" w:color="auto"/>
              <w:right w:val="single" w:sz="4" w:space="0" w:color="auto"/>
            </w:tcBorders>
            <w:shd w:val="clear" w:color="auto" w:fill="F2F2F2" w:themeFill="background1" w:themeFillShade="F2"/>
            <w:vAlign w:val="center"/>
            <w:hideMark/>
          </w:tcPr>
          <w:p w14:paraId="024F23DF"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1,084</w:t>
            </w:r>
          </w:p>
        </w:tc>
        <w:tc>
          <w:tcPr>
            <w:tcW w:w="952"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311FD87C"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10.8%</w:t>
            </w:r>
          </w:p>
        </w:tc>
        <w:tc>
          <w:tcPr>
            <w:tcW w:w="951"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2DC0E8EA"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76</w:t>
            </w:r>
          </w:p>
        </w:tc>
        <w:tc>
          <w:tcPr>
            <w:tcW w:w="952" w:type="dxa"/>
            <w:tcBorders>
              <w:top w:val="nil"/>
              <w:left w:val="nil"/>
              <w:bottom w:val="single" w:sz="8" w:space="0" w:color="auto"/>
              <w:right w:val="single" w:sz="4" w:space="0" w:color="auto"/>
            </w:tcBorders>
            <w:shd w:val="clear" w:color="auto" w:fill="F2F2F2" w:themeFill="background1" w:themeFillShade="F2"/>
            <w:vAlign w:val="center"/>
            <w:hideMark/>
          </w:tcPr>
          <w:p w14:paraId="5CB417A5"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2,206</w:t>
            </w:r>
          </w:p>
        </w:tc>
        <w:tc>
          <w:tcPr>
            <w:tcW w:w="951"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03FC0F74"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3.4%</w:t>
            </w:r>
          </w:p>
        </w:tc>
        <w:tc>
          <w:tcPr>
            <w:tcW w:w="95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77E987F0"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386</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5511083C"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8,367</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0975BDFE" w14:textId="77777777" w:rsidR="006C519F" w:rsidRPr="00E83D8D" w:rsidRDefault="006C519F" w:rsidP="00EA3B61">
            <w:pPr>
              <w:jc w:val="center"/>
              <w:rPr>
                <w:rFonts w:ascii="Calibri" w:eastAsia="Times New Roman" w:hAnsi="Calibri" w:cs="Calibri"/>
                <w:color w:val="000000"/>
              </w:rPr>
            </w:pPr>
            <w:r w:rsidRPr="00E83D8D">
              <w:rPr>
                <w:rFonts w:ascii="Calibri" w:eastAsia="Times New Roman" w:hAnsi="Calibri" w:cs="Calibri"/>
                <w:color w:val="000000"/>
              </w:rPr>
              <w:t>4.6%</w:t>
            </w:r>
          </w:p>
        </w:tc>
      </w:tr>
    </w:tbl>
    <w:p w14:paraId="7DDD7DAB" w14:textId="77777777" w:rsidR="006C519F" w:rsidRPr="00E83D8D" w:rsidRDefault="006C519F" w:rsidP="00987664">
      <w:pPr>
        <w:ind w:left="2223" w:right="2224"/>
        <w:jc w:val="center"/>
        <w:rPr>
          <w:rFonts w:ascii="Calibri"/>
          <w:b/>
          <w:spacing w:val="-1"/>
        </w:rPr>
      </w:pPr>
    </w:p>
    <w:p w14:paraId="3D21245F" w14:textId="77777777" w:rsidR="0016672C" w:rsidRPr="006C519F" w:rsidRDefault="0016672C" w:rsidP="0016672C">
      <w:pPr>
        <w:spacing w:before="120" w:line="240" w:lineRule="auto"/>
        <w:ind w:left="2223" w:right="2224"/>
        <w:jc w:val="center"/>
        <w:rPr>
          <w:rFonts w:ascii="Calibri"/>
          <w:b/>
          <w:spacing w:val="-1"/>
        </w:rPr>
      </w:pPr>
      <w:r w:rsidRPr="006C519F">
        <w:rPr>
          <w:rFonts w:ascii="Calibri"/>
          <w:b/>
          <w:spacing w:val="-1"/>
        </w:rPr>
        <w:t>Students</w:t>
      </w:r>
      <w:r w:rsidRPr="006C519F">
        <w:rPr>
          <w:rFonts w:ascii="Calibri"/>
          <w:b/>
          <w:spacing w:val="1"/>
        </w:rPr>
        <w:t xml:space="preserve"> </w:t>
      </w:r>
      <w:r w:rsidRPr="006C519F">
        <w:rPr>
          <w:rFonts w:ascii="Calibri"/>
          <w:b/>
          <w:spacing w:val="-1"/>
        </w:rPr>
        <w:t>of</w:t>
      </w:r>
      <w:r w:rsidRPr="006C519F">
        <w:rPr>
          <w:rFonts w:ascii="Calibri"/>
          <w:b/>
        </w:rPr>
        <w:t xml:space="preserve"> </w:t>
      </w:r>
      <w:r w:rsidRPr="006C519F">
        <w:rPr>
          <w:rFonts w:ascii="Calibri"/>
          <w:b/>
          <w:spacing w:val="-1"/>
        </w:rPr>
        <w:t>Color</w:t>
      </w:r>
      <w:r w:rsidRPr="006C519F">
        <w:rPr>
          <w:rFonts w:ascii="Calibri"/>
          <w:b/>
          <w:spacing w:val="-2"/>
        </w:rPr>
        <w:t xml:space="preserve"> </w:t>
      </w:r>
      <w:r w:rsidRPr="006C519F">
        <w:rPr>
          <w:rFonts w:ascii="Calibri"/>
          <w:b/>
          <w:spacing w:val="-1"/>
        </w:rPr>
        <w:t xml:space="preserve">(Minority) Disproportionate Rate </w:t>
      </w:r>
      <w:r w:rsidRPr="006C519F">
        <w:rPr>
          <w:rFonts w:ascii="Calibri"/>
          <w:b/>
          <w:spacing w:val="-4"/>
        </w:rPr>
        <w:t>of</w:t>
      </w:r>
      <w:r w:rsidRPr="006C519F">
        <w:rPr>
          <w:rFonts w:ascii="Calibri"/>
          <w:b/>
          <w:spacing w:val="31"/>
        </w:rPr>
        <w:t xml:space="preserve"> </w:t>
      </w:r>
      <w:r w:rsidRPr="006C519F">
        <w:rPr>
          <w:rFonts w:ascii="Calibri"/>
          <w:b/>
          <w:spacing w:val="-1"/>
        </w:rPr>
        <w:t>Access</w:t>
      </w:r>
      <w:r w:rsidRPr="006C519F">
        <w:rPr>
          <w:rFonts w:ascii="Calibri"/>
          <w:b/>
          <w:spacing w:val="-2"/>
        </w:rPr>
        <w:t xml:space="preserve"> </w:t>
      </w:r>
      <w:r w:rsidRPr="006C519F">
        <w:rPr>
          <w:rFonts w:ascii="Calibri"/>
          <w:b/>
        </w:rPr>
        <w:t>to</w:t>
      </w:r>
      <w:r w:rsidRPr="006C519F">
        <w:rPr>
          <w:rFonts w:ascii="Calibri"/>
          <w:b/>
          <w:spacing w:val="-1"/>
        </w:rPr>
        <w:t xml:space="preserve"> Inexperienced Teachers (2017-18)</w:t>
      </w:r>
    </w:p>
    <w:tbl>
      <w:tblPr>
        <w:tblpPr w:leftFromText="187" w:rightFromText="187" w:vertAnchor="text" w:horzAnchor="margin" w:tblpY="207"/>
        <w:tblOverlap w:val="never"/>
        <w:tblW w:w="9913" w:type="dxa"/>
        <w:tblLook w:val="04A0" w:firstRow="1" w:lastRow="0" w:firstColumn="1" w:lastColumn="0" w:noHBand="0" w:noVBand="1"/>
      </w:tblPr>
      <w:tblGrid>
        <w:gridCol w:w="1269"/>
        <w:gridCol w:w="922"/>
        <w:gridCol w:w="957"/>
        <w:gridCol w:w="982"/>
        <w:gridCol w:w="957"/>
        <w:gridCol w:w="970"/>
        <w:gridCol w:w="966"/>
        <w:gridCol w:w="957"/>
        <w:gridCol w:w="970"/>
        <w:gridCol w:w="963"/>
      </w:tblGrid>
      <w:tr w:rsidR="006C519F" w:rsidRPr="006C519F" w14:paraId="09B6F2D9" w14:textId="77777777" w:rsidTr="0016672C">
        <w:trPr>
          <w:trHeight w:val="2602"/>
        </w:trPr>
        <w:tc>
          <w:tcPr>
            <w:tcW w:w="1269" w:type="dxa"/>
            <w:tcBorders>
              <w:top w:val="single" w:sz="4" w:space="0" w:color="auto"/>
              <w:left w:val="single" w:sz="4" w:space="0" w:color="auto"/>
              <w:bottom w:val="single" w:sz="4" w:space="0" w:color="auto"/>
              <w:right w:val="single" w:sz="4" w:space="0" w:color="auto"/>
            </w:tcBorders>
            <w:vAlign w:val="center"/>
            <w:hideMark/>
          </w:tcPr>
          <w:p w14:paraId="786FDF0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School type</w:t>
            </w:r>
          </w:p>
        </w:tc>
        <w:tc>
          <w:tcPr>
            <w:tcW w:w="922"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76CAF71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High Minority quartile</w:t>
            </w:r>
            <w:r w:rsidRPr="006C519F">
              <w:rPr>
                <w:rFonts w:ascii="Calibri" w:eastAsia="Times New Roman" w:hAnsi="Calibri" w:cs="Calibri"/>
              </w:rPr>
              <w:br/>
              <w:t># inexperienced teachers</w:t>
            </w:r>
          </w:p>
        </w:tc>
        <w:tc>
          <w:tcPr>
            <w:tcW w:w="95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750896"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High Minority quartile</w:t>
            </w:r>
            <w:r w:rsidRPr="006C519F">
              <w:rPr>
                <w:rFonts w:ascii="Calibri" w:eastAsia="Times New Roman" w:hAnsi="Calibri" w:cs="Calibri"/>
              </w:rPr>
              <w:br/>
              <w:t>Total teachers</w:t>
            </w:r>
          </w:p>
        </w:tc>
        <w:tc>
          <w:tcPr>
            <w:tcW w:w="982" w:type="dxa"/>
            <w:tcBorders>
              <w:top w:val="single" w:sz="4" w:space="0" w:color="auto"/>
              <w:left w:val="nil"/>
              <w:bottom w:val="single" w:sz="4" w:space="0" w:color="auto"/>
              <w:right w:val="double" w:sz="4" w:space="0" w:color="auto"/>
            </w:tcBorders>
            <w:shd w:val="clear" w:color="auto" w:fill="auto"/>
            <w:textDirection w:val="btLr"/>
            <w:vAlign w:val="center"/>
            <w:hideMark/>
          </w:tcPr>
          <w:p w14:paraId="1BD7525D"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High Minority quartile</w:t>
            </w:r>
            <w:r w:rsidRPr="006C519F">
              <w:rPr>
                <w:rFonts w:ascii="Calibri" w:eastAsia="Times New Roman" w:hAnsi="Calibri" w:cs="Calibri"/>
              </w:rPr>
              <w:br/>
              <w:t>% inexperienced</w:t>
            </w:r>
          </w:p>
        </w:tc>
        <w:tc>
          <w:tcPr>
            <w:tcW w:w="957"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2E7F7488"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Low Minority quartile</w:t>
            </w:r>
            <w:r w:rsidRPr="006C519F">
              <w:rPr>
                <w:rFonts w:ascii="Calibri" w:eastAsia="Times New Roman" w:hAnsi="Calibri" w:cs="Calibri"/>
              </w:rPr>
              <w:br/>
              <w:t># inexperienced teachers</w:t>
            </w:r>
          </w:p>
        </w:tc>
        <w:tc>
          <w:tcPr>
            <w:tcW w:w="9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A64877"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Low Minority quartile</w:t>
            </w:r>
            <w:r w:rsidRPr="006C519F">
              <w:rPr>
                <w:rFonts w:ascii="Calibri" w:eastAsia="Times New Roman" w:hAnsi="Calibri" w:cs="Calibri"/>
              </w:rPr>
              <w:br/>
              <w:t>Total teachers</w:t>
            </w:r>
          </w:p>
        </w:tc>
        <w:tc>
          <w:tcPr>
            <w:tcW w:w="966" w:type="dxa"/>
            <w:tcBorders>
              <w:top w:val="single" w:sz="4" w:space="0" w:color="auto"/>
              <w:left w:val="nil"/>
              <w:bottom w:val="single" w:sz="4" w:space="0" w:color="auto"/>
              <w:right w:val="double" w:sz="4" w:space="0" w:color="auto"/>
            </w:tcBorders>
            <w:shd w:val="clear" w:color="auto" w:fill="auto"/>
            <w:textDirection w:val="btLr"/>
            <w:vAlign w:val="center"/>
            <w:hideMark/>
          </w:tcPr>
          <w:p w14:paraId="0836ECE1"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Low Minority quartile</w:t>
            </w:r>
            <w:r w:rsidRPr="006C519F">
              <w:rPr>
                <w:rFonts w:ascii="Calibri" w:eastAsia="Times New Roman" w:hAnsi="Calibri" w:cs="Calibri"/>
              </w:rPr>
              <w:br/>
              <w:t>% inexperienced</w:t>
            </w:r>
          </w:p>
        </w:tc>
        <w:tc>
          <w:tcPr>
            <w:tcW w:w="957"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E2A1994"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All Schools</w:t>
            </w:r>
            <w:r w:rsidRPr="006C519F">
              <w:rPr>
                <w:rFonts w:ascii="Calibri" w:eastAsia="Times New Roman" w:hAnsi="Calibri" w:cs="Calibri"/>
              </w:rPr>
              <w:br/>
              <w:t># inexperienced teachers</w:t>
            </w:r>
          </w:p>
        </w:tc>
        <w:tc>
          <w:tcPr>
            <w:tcW w:w="9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24123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All Schools</w:t>
            </w:r>
            <w:r w:rsidRPr="006C519F">
              <w:rPr>
                <w:rFonts w:ascii="Calibri" w:eastAsia="Times New Roman" w:hAnsi="Calibri" w:cs="Calibri"/>
              </w:rPr>
              <w:br/>
              <w:t>Total teachers</w:t>
            </w:r>
          </w:p>
        </w:tc>
        <w:tc>
          <w:tcPr>
            <w:tcW w:w="9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DAA9F5"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All Schools</w:t>
            </w:r>
            <w:r w:rsidRPr="006C519F">
              <w:rPr>
                <w:rFonts w:ascii="Calibri" w:eastAsia="Times New Roman" w:hAnsi="Calibri" w:cs="Calibri"/>
              </w:rPr>
              <w:br/>
              <w:t>% inexperienced</w:t>
            </w:r>
          </w:p>
        </w:tc>
      </w:tr>
      <w:tr w:rsidR="006C519F" w:rsidRPr="006C519F" w14:paraId="095F2EF5" w14:textId="77777777" w:rsidTr="0016672C">
        <w:trPr>
          <w:trHeight w:val="297"/>
        </w:trPr>
        <w:tc>
          <w:tcPr>
            <w:tcW w:w="1269" w:type="dxa"/>
            <w:tcBorders>
              <w:top w:val="nil"/>
              <w:left w:val="single" w:sz="4" w:space="0" w:color="auto"/>
              <w:bottom w:val="single" w:sz="4" w:space="0" w:color="auto"/>
              <w:right w:val="nil"/>
            </w:tcBorders>
            <w:shd w:val="clear" w:color="auto" w:fill="F2F2F2" w:themeFill="background1" w:themeFillShade="F2"/>
            <w:vAlign w:val="center"/>
            <w:hideMark/>
          </w:tcPr>
          <w:p w14:paraId="4A8F365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Title I</w:t>
            </w:r>
          </w:p>
        </w:tc>
        <w:tc>
          <w:tcPr>
            <w:tcW w:w="922"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73237FD7"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 xml:space="preserve">80.14 </w:t>
            </w:r>
          </w:p>
        </w:tc>
        <w:tc>
          <w:tcPr>
            <w:tcW w:w="957" w:type="dxa"/>
            <w:tcBorders>
              <w:top w:val="nil"/>
              <w:left w:val="nil"/>
              <w:bottom w:val="single" w:sz="4" w:space="0" w:color="auto"/>
              <w:right w:val="single" w:sz="4" w:space="0" w:color="auto"/>
            </w:tcBorders>
            <w:shd w:val="clear" w:color="auto" w:fill="F2F2F2" w:themeFill="background1" w:themeFillShade="F2"/>
            <w:vAlign w:val="center"/>
            <w:hideMark/>
          </w:tcPr>
          <w:p w14:paraId="33EC40B6"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884.51</w:t>
            </w:r>
          </w:p>
        </w:tc>
        <w:tc>
          <w:tcPr>
            <w:tcW w:w="982"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097B4549"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9.1%</w:t>
            </w:r>
          </w:p>
        </w:tc>
        <w:tc>
          <w:tcPr>
            <w:tcW w:w="957"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591DB9B7"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14.49</w:t>
            </w:r>
          </w:p>
        </w:tc>
        <w:tc>
          <w:tcPr>
            <w:tcW w:w="970" w:type="dxa"/>
            <w:tcBorders>
              <w:top w:val="nil"/>
              <w:left w:val="nil"/>
              <w:bottom w:val="single" w:sz="4" w:space="0" w:color="auto"/>
              <w:right w:val="single" w:sz="4" w:space="0" w:color="auto"/>
            </w:tcBorders>
            <w:shd w:val="clear" w:color="auto" w:fill="F2F2F2" w:themeFill="background1" w:themeFillShade="F2"/>
            <w:vAlign w:val="center"/>
            <w:hideMark/>
          </w:tcPr>
          <w:p w14:paraId="646A8429"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552.26</w:t>
            </w:r>
          </w:p>
        </w:tc>
        <w:tc>
          <w:tcPr>
            <w:tcW w:w="966" w:type="dxa"/>
            <w:tcBorders>
              <w:top w:val="nil"/>
              <w:left w:val="nil"/>
              <w:bottom w:val="single" w:sz="4" w:space="0" w:color="auto"/>
              <w:right w:val="double" w:sz="4" w:space="0" w:color="auto"/>
            </w:tcBorders>
            <w:shd w:val="clear" w:color="auto" w:fill="F2F2F2" w:themeFill="background1" w:themeFillShade="F2"/>
            <w:vAlign w:val="center"/>
            <w:hideMark/>
          </w:tcPr>
          <w:p w14:paraId="655CFB33"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2.6%</w:t>
            </w:r>
          </w:p>
        </w:tc>
        <w:tc>
          <w:tcPr>
            <w:tcW w:w="957"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3B1DB95B"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221.15</w:t>
            </w:r>
          </w:p>
        </w:tc>
        <w:tc>
          <w:tcPr>
            <w:tcW w:w="970" w:type="dxa"/>
            <w:tcBorders>
              <w:top w:val="nil"/>
              <w:left w:val="nil"/>
              <w:bottom w:val="single" w:sz="4" w:space="0" w:color="auto"/>
              <w:right w:val="single" w:sz="4" w:space="0" w:color="auto"/>
            </w:tcBorders>
            <w:shd w:val="clear" w:color="auto" w:fill="F2F2F2" w:themeFill="background1" w:themeFillShade="F2"/>
            <w:vAlign w:val="center"/>
            <w:hideMark/>
          </w:tcPr>
          <w:p w14:paraId="7E5CAC2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3587.21</w:t>
            </w:r>
          </w:p>
        </w:tc>
        <w:tc>
          <w:tcPr>
            <w:tcW w:w="963" w:type="dxa"/>
            <w:tcBorders>
              <w:top w:val="nil"/>
              <w:left w:val="nil"/>
              <w:bottom w:val="single" w:sz="4" w:space="0" w:color="auto"/>
              <w:right w:val="single" w:sz="4" w:space="0" w:color="auto"/>
            </w:tcBorders>
            <w:shd w:val="clear" w:color="auto" w:fill="F2F2F2" w:themeFill="background1" w:themeFillShade="F2"/>
            <w:vAlign w:val="center"/>
            <w:hideMark/>
          </w:tcPr>
          <w:p w14:paraId="4444402F"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6.2%</w:t>
            </w:r>
          </w:p>
        </w:tc>
      </w:tr>
      <w:tr w:rsidR="006C519F" w:rsidRPr="006C519F" w14:paraId="78B9080A" w14:textId="77777777" w:rsidTr="0016672C">
        <w:trPr>
          <w:trHeight w:val="297"/>
        </w:trPr>
        <w:tc>
          <w:tcPr>
            <w:tcW w:w="1269" w:type="dxa"/>
            <w:tcBorders>
              <w:top w:val="nil"/>
              <w:left w:val="single" w:sz="4" w:space="0" w:color="auto"/>
              <w:bottom w:val="single" w:sz="4" w:space="0" w:color="auto"/>
              <w:right w:val="nil"/>
            </w:tcBorders>
            <w:shd w:val="clear" w:color="auto" w:fill="auto"/>
            <w:vAlign w:val="center"/>
            <w:hideMark/>
          </w:tcPr>
          <w:p w14:paraId="2399255A"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Non-Title I</w:t>
            </w:r>
          </w:p>
        </w:tc>
        <w:tc>
          <w:tcPr>
            <w:tcW w:w="922" w:type="dxa"/>
            <w:tcBorders>
              <w:top w:val="nil"/>
              <w:left w:val="single" w:sz="8" w:space="0" w:color="auto"/>
              <w:bottom w:val="single" w:sz="4" w:space="0" w:color="auto"/>
              <w:right w:val="single" w:sz="4" w:space="0" w:color="auto"/>
            </w:tcBorders>
            <w:shd w:val="clear" w:color="auto" w:fill="auto"/>
            <w:vAlign w:val="center"/>
            <w:hideMark/>
          </w:tcPr>
          <w:p w14:paraId="453AB7F3"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8.0</w:t>
            </w:r>
          </w:p>
        </w:tc>
        <w:tc>
          <w:tcPr>
            <w:tcW w:w="957" w:type="dxa"/>
            <w:tcBorders>
              <w:top w:val="nil"/>
              <w:left w:val="nil"/>
              <w:bottom w:val="single" w:sz="4" w:space="0" w:color="auto"/>
              <w:right w:val="single" w:sz="4" w:space="0" w:color="auto"/>
            </w:tcBorders>
            <w:shd w:val="clear" w:color="auto" w:fill="auto"/>
            <w:vAlign w:val="center"/>
            <w:hideMark/>
          </w:tcPr>
          <w:p w14:paraId="78AFBF57"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112.5</w:t>
            </w:r>
          </w:p>
        </w:tc>
        <w:tc>
          <w:tcPr>
            <w:tcW w:w="982" w:type="dxa"/>
            <w:tcBorders>
              <w:top w:val="single" w:sz="4" w:space="0" w:color="auto"/>
              <w:left w:val="nil"/>
              <w:bottom w:val="single" w:sz="4" w:space="0" w:color="auto"/>
              <w:right w:val="double" w:sz="4" w:space="0" w:color="auto"/>
            </w:tcBorders>
            <w:shd w:val="clear" w:color="auto" w:fill="auto"/>
            <w:vAlign w:val="center"/>
            <w:hideMark/>
          </w:tcPr>
          <w:p w14:paraId="094C533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7.1%</w:t>
            </w:r>
          </w:p>
        </w:tc>
        <w:tc>
          <w:tcPr>
            <w:tcW w:w="957" w:type="dxa"/>
            <w:tcBorders>
              <w:top w:val="nil"/>
              <w:left w:val="double" w:sz="4" w:space="0" w:color="auto"/>
              <w:bottom w:val="single" w:sz="4" w:space="0" w:color="auto"/>
              <w:right w:val="single" w:sz="4" w:space="0" w:color="auto"/>
            </w:tcBorders>
            <w:shd w:val="clear" w:color="auto" w:fill="auto"/>
            <w:vAlign w:val="center"/>
            <w:hideMark/>
          </w:tcPr>
          <w:p w14:paraId="501FFF2D"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28.95</w:t>
            </w:r>
          </w:p>
        </w:tc>
        <w:tc>
          <w:tcPr>
            <w:tcW w:w="970" w:type="dxa"/>
            <w:tcBorders>
              <w:top w:val="nil"/>
              <w:left w:val="nil"/>
              <w:bottom w:val="single" w:sz="4" w:space="0" w:color="auto"/>
              <w:right w:val="single" w:sz="4" w:space="0" w:color="auto"/>
            </w:tcBorders>
            <w:shd w:val="clear" w:color="auto" w:fill="auto"/>
            <w:vAlign w:val="center"/>
            <w:hideMark/>
          </w:tcPr>
          <w:p w14:paraId="768D37A9"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1352.29</w:t>
            </w:r>
          </w:p>
        </w:tc>
        <w:tc>
          <w:tcPr>
            <w:tcW w:w="966" w:type="dxa"/>
            <w:tcBorders>
              <w:top w:val="nil"/>
              <w:left w:val="nil"/>
              <w:bottom w:val="single" w:sz="4" w:space="0" w:color="auto"/>
              <w:right w:val="double" w:sz="4" w:space="0" w:color="auto"/>
            </w:tcBorders>
            <w:shd w:val="clear" w:color="auto" w:fill="auto"/>
            <w:vAlign w:val="center"/>
            <w:hideMark/>
          </w:tcPr>
          <w:p w14:paraId="229D5831"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2.1%</w:t>
            </w:r>
          </w:p>
        </w:tc>
        <w:tc>
          <w:tcPr>
            <w:tcW w:w="957" w:type="dxa"/>
            <w:tcBorders>
              <w:top w:val="nil"/>
              <w:left w:val="double" w:sz="4" w:space="0" w:color="auto"/>
              <w:bottom w:val="single" w:sz="4" w:space="0" w:color="auto"/>
              <w:right w:val="single" w:sz="4" w:space="0" w:color="auto"/>
            </w:tcBorders>
            <w:shd w:val="clear" w:color="auto" w:fill="auto"/>
            <w:vAlign w:val="center"/>
            <w:hideMark/>
          </w:tcPr>
          <w:p w14:paraId="094D04C7"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115.16</w:t>
            </w:r>
          </w:p>
        </w:tc>
        <w:tc>
          <w:tcPr>
            <w:tcW w:w="970" w:type="dxa"/>
            <w:tcBorders>
              <w:top w:val="nil"/>
              <w:left w:val="nil"/>
              <w:bottom w:val="single" w:sz="4" w:space="0" w:color="auto"/>
              <w:right w:val="single" w:sz="4" w:space="0" w:color="auto"/>
            </w:tcBorders>
            <w:shd w:val="clear" w:color="auto" w:fill="auto"/>
            <w:vAlign w:val="center"/>
            <w:hideMark/>
          </w:tcPr>
          <w:p w14:paraId="6ABD09E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4063.62</w:t>
            </w:r>
          </w:p>
        </w:tc>
        <w:tc>
          <w:tcPr>
            <w:tcW w:w="963" w:type="dxa"/>
            <w:tcBorders>
              <w:top w:val="nil"/>
              <w:left w:val="nil"/>
              <w:bottom w:val="single" w:sz="4" w:space="0" w:color="auto"/>
              <w:right w:val="single" w:sz="4" w:space="0" w:color="auto"/>
            </w:tcBorders>
            <w:shd w:val="clear" w:color="auto" w:fill="auto"/>
            <w:vAlign w:val="center"/>
            <w:hideMark/>
          </w:tcPr>
          <w:p w14:paraId="7130D06E"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2.8%</w:t>
            </w:r>
          </w:p>
        </w:tc>
      </w:tr>
      <w:tr w:rsidR="006C519F" w:rsidRPr="006C519F" w14:paraId="62403A2A" w14:textId="77777777" w:rsidTr="0016672C">
        <w:trPr>
          <w:trHeight w:val="312"/>
        </w:trPr>
        <w:tc>
          <w:tcPr>
            <w:tcW w:w="1269" w:type="dxa"/>
            <w:tcBorders>
              <w:top w:val="nil"/>
              <w:left w:val="single" w:sz="4" w:space="0" w:color="auto"/>
              <w:bottom w:val="single" w:sz="4" w:space="0" w:color="auto"/>
              <w:right w:val="nil"/>
            </w:tcBorders>
            <w:shd w:val="clear" w:color="auto" w:fill="F2F2F2" w:themeFill="background1" w:themeFillShade="F2"/>
            <w:vAlign w:val="center"/>
            <w:hideMark/>
          </w:tcPr>
          <w:p w14:paraId="6D76600A"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All schools</w:t>
            </w:r>
          </w:p>
        </w:tc>
        <w:tc>
          <w:tcPr>
            <w:tcW w:w="922"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714F5BF0"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88.14</w:t>
            </w:r>
          </w:p>
        </w:tc>
        <w:tc>
          <w:tcPr>
            <w:tcW w:w="957" w:type="dxa"/>
            <w:tcBorders>
              <w:top w:val="nil"/>
              <w:left w:val="nil"/>
              <w:bottom w:val="single" w:sz="8" w:space="0" w:color="auto"/>
              <w:right w:val="single" w:sz="4" w:space="0" w:color="auto"/>
            </w:tcBorders>
            <w:shd w:val="clear" w:color="auto" w:fill="F2F2F2" w:themeFill="background1" w:themeFillShade="F2"/>
            <w:vAlign w:val="center"/>
            <w:hideMark/>
          </w:tcPr>
          <w:p w14:paraId="0C86ED38"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997.01</w:t>
            </w:r>
          </w:p>
        </w:tc>
        <w:tc>
          <w:tcPr>
            <w:tcW w:w="982"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2F472788"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8.8%</w:t>
            </w:r>
          </w:p>
        </w:tc>
        <w:tc>
          <w:tcPr>
            <w:tcW w:w="957"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57C449FF"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43.44</w:t>
            </w:r>
          </w:p>
        </w:tc>
        <w:tc>
          <w:tcPr>
            <w:tcW w:w="970" w:type="dxa"/>
            <w:tcBorders>
              <w:top w:val="nil"/>
              <w:left w:val="nil"/>
              <w:bottom w:val="single" w:sz="8" w:space="0" w:color="auto"/>
              <w:right w:val="single" w:sz="4" w:space="0" w:color="auto"/>
            </w:tcBorders>
            <w:shd w:val="clear" w:color="auto" w:fill="F2F2F2" w:themeFill="background1" w:themeFillShade="F2"/>
            <w:vAlign w:val="center"/>
            <w:hideMark/>
          </w:tcPr>
          <w:p w14:paraId="2057A151"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1904.55</w:t>
            </w:r>
          </w:p>
        </w:tc>
        <w:tc>
          <w:tcPr>
            <w:tcW w:w="966" w:type="dxa"/>
            <w:tcBorders>
              <w:top w:val="nil"/>
              <w:left w:val="nil"/>
              <w:bottom w:val="single" w:sz="8" w:space="0" w:color="auto"/>
              <w:right w:val="double" w:sz="4" w:space="0" w:color="auto"/>
            </w:tcBorders>
            <w:shd w:val="clear" w:color="auto" w:fill="F2F2F2" w:themeFill="background1" w:themeFillShade="F2"/>
            <w:vAlign w:val="center"/>
            <w:hideMark/>
          </w:tcPr>
          <w:p w14:paraId="5CD4668F"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2.3%</w:t>
            </w:r>
          </w:p>
        </w:tc>
        <w:tc>
          <w:tcPr>
            <w:tcW w:w="957"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5B6F5663"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336.31</w:t>
            </w:r>
          </w:p>
        </w:tc>
        <w:tc>
          <w:tcPr>
            <w:tcW w:w="970" w:type="dxa"/>
            <w:tcBorders>
              <w:top w:val="nil"/>
              <w:left w:val="nil"/>
              <w:bottom w:val="single" w:sz="4" w:space="0" w:color="auto"/>
              <w:right w:val="single" w:sz="4" w:space="0" w:color="auto"/>
            </w:tcBorders>
            <w:shd w:val="clear" w:color="auto" w:fill="F2F2F2" w:themeFill="background1" w:themeFillShade="F2"/>
            <w:vAlign w:val="center"/>
            <w:hideMark/>
          </w:tcPr>
          <w:p w14:paraId="5951F705"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7650.83</w:t>
            </w:r>
          </w:p>
        </w:tc>
        <w:tc>
          <w:tcPr>
            <w:tcW w:w="963" w:type="dxa"/>
            <w:tcBorders>
              <w:top w:val="nil"/>
              <w:left w:val="nil"/>
              <w:bottom w:val="single" w:sz="4" w:space="0" w:color="auto"/>
              <w:right w:val="single" w:sz="4" w:space="0" w:color="auto"/>
            </w:tcBorders>
            <w:shd w:val="clear" w:color="auto" w:fill="F2F2F2" w:themeFill="background1" w:themeFillShade="F2"/>
            <w:vAlign w:val="center"/>
            <w:hideMark/>
          </w:tcPr>
          <w:p w14:paraId="387E599A" w14:textId="77777777" w:rsidR="0016672C" w:rsidRPr="006C519F" w:rsidRDefault="0016672C" w:rsidP="0016672C">
            <w:pPr>
              <w:ind w:left="-109"/>
              <w:jc w:val="center"/>
              <w:rPr>
                <w:rFonts w:ascii="Calibri" w:eastAsia="Times New Roman" w:hAnsi="Calibri" w:cs="Calibri"/>
              </w:rPr>
            </w:pPr>
            <w:r w:rsidRPr="006C519F">
              <w:rPr>
                <w:rFonts w:ascii="Calibri" w:eastAsia="Times New Roman" w:hAnsi="Calibri" w:cs="Calibri"/>
              </w:rPr>
              <w:t>4.4%</w:t>
            </w:r>
          </w:p>
        </w:tc>
      </w:tr>
    </w:tbl>
    <w:p w14:paraId="09565B69" w14:textId="3B797242" w:rsidR="0016672C" w:rsidRDefault="0016672C" w:rsidP="0016672C">
      <w:pPr>
        <w:spacing w:line="240" w:lineRule="auto"/>
        <w:ind w:left="2223" w:right="2224"/>
        <w:jc w:val="center"/>
        <w:rPr>
          <w:rFonts w:ascii="Calibri"/>
          <w:b/>
          <w:color w:val="FF0000"/>
          <w:spacing w:val="-1"/>
          <w:u w:val="single"/>
        </w:rPr>
      </w:pPr>
    </w:p>
    <w:p w14:paraId="6B08F83A" w14:textId="77777777" w:rsidR="0016672C" w:rsidRPr="006C519F" w:rsidRDefault="0016672C" w:rsidP="0016672C">
      <w:pPr>
        <w:rPr>
          <w:spacing w:val="-1"/>
        </w:rPr>
      </w:pPr>
      <w:r w:rsidRPr="006C519F">
        <w:rPr>
          <w:spacing w:val="-1"/>
        </w:rPr>
        <w:t>Note: This data was previously compiled by the headcount of inexperienced teachers. To match the Ed Facts data collection, this data is now compiled using FTE. The number of inexperienced teachers has decreased overall in the state and all quartiles. The difference may be in part due to change in compilation by FTE. The rate of access to inexperienced teachers for low-income and minority students has remained consistent. A more accurate comparison can be made to the 2018-19 data collection.</w:t>
      </w:r>
    </w:p>
    <w:p w14:paraId="3E8DD108" w14:textId="77777777" w:rsidR="0016672C" w:rsidRDefault="0016672C" w:rsidP="0016672C">
      <w:pPr>
        <w:spacing w:before="240"/>
        <w:ind w:right="1128"/>
        <w:rPr>
          <w:rFonts w:ascii="Calibri"/>
          <w:b/>
          <w:spacing w:val="-1"/>
        </w:rPr>
      </w:pPr>
      <w:r>
        <w:rPr>
          <w:rFonts w:ascii="Calibri"/>
          <w:b/>
          <w:spacing w:val="-1"/>
        </w:rPr>
        <w:br w:type="page"/>
      </w:r>
    </w:p>
    <w:p w14:paraId="0090F021" w14:textId="0411EBC0" w:rsidR="0016672C" w:rsidRDefault="0016672C" w:rsidP="0016672C">
      <w:pPr>
        <w:spacing w:before="240"/>
        <w:ind w:right="1128"/>
        <w:rPr>
          <w:rFonts w:ascii="Calibri"/>
          <w:b/>
          <w:spacing w:val="-1"/>
        </w:rPr>
      </w:pPr>
      <w:r>
        <w:rPr>
          <w:rFonts w:ascii="Calibri"/>
          <w:b/>
          <w:spacing w:val="-1"/>
        </w:rPr>
        <w:lastRenderedPageBreak/>
        <w:t xml:space="preserve">Out-of-Field Teachers </w:t>
      </w:r>
    </w:p>
    <w:p w14:paraId="7975CCA2" w14:textId="64D73751" w:rsidR="0016672C" w:rsidRDefault="0016672C" w:rsidP="00987664">
      <w:pPr>
        <w:rPr>
          <w:rFonts w:cs="Calibri"/>
          <w:szCs w:val="21"/>
        </w:rPr>
      </w:pPr>
      <w:r>
        <w:rPr>
          <w:spacing w:val="-1"/>
        </w:rPr>
        <w:t xml:space="preserve">Data for out-of-field teachers </w:t>
      </w:r>
      <w:r w:rsidRPr="006C519F">
        <w:rPr>
          <w:spacing w:val="-1"/>
        </w:rPr>
        <w:t>was not available</w:t>
      </w:r>
      <w:r>
        <w:rPr>
          <w:color w:val="FF0000"/>
          <w:spacing w:val="-1"/>
        </w:rPr>
        <w:t xml:space="preserve"> </w:t>
      </w:r>
      <w:r>
        <w:rPr>
          <w:spacing w:val="-1"/>
        </w:rPr>
        <w:t>2016-2017</w:t>
      </w:r>
      <w:r w:rsidRPr="006C519F">
        <w:rPr>
          <w:color w:val="FF0000"/>
          <w:spacing w:val="-1"/>
        </w:rPr>
        <w:t xml:space="preserve"> </w:t>
      </w:r>
      <w:r w:rsidR="006C519F" w:rsidRPr="006C519F">
        <w:rPr>
          <w:spacing w:val="-1"/>
        </w:rPr>
        <w:t xml:space="preserve">because </w:t>
      </w:r>
      <w:r>
        <w:rPr>
          <w:spacing w:val="-1"/>
        </w:rPr>
        <w:t>Alaska</w:t>
      </w:r>
      <w:r>
        <w:rPr>
          <w:spacing w:val="1"/>
        </w:rPr>
        <w:t xml:space="preserve"> </w:t>
      </w:r>
      <w:r w:rsidRPr="006C519F">
        <w:rPr>
          <w:spacing w:val="1"/>
        </w:rPr>
        <w:t>was</w:t>
      </w:r>
      <w:r>
        <w:rPr>
          <w:color w:val="FF0000"/>
          <w:spacing w:val="1"/>
        </w:rPr>
        <w:t xml:space="preserve"> </w:t>
      </w:r>
      <w:r>
        <w:rPr>
          <w:spacing w:val="1"/>
        </w:rPr>
        <w:t xml:space="preserve">in the process of changing from the former definition of out-of-field (highly qualified) to the new definition of out-of-field teachers. </w:t>
      </w:r>
      <w:r w:rsidRPr="000A7363">
        <w:rPr>
          <w:rFonts w:cs="Calibri"/>
          <w:szCs w:val="21"/>
        </w:rPr>
        <w:t xml:space="preserve">DEED </w:t>
      </w:r>
      <w:r w:rsidR="006C519F">
        <w:rPr>
          <w:rFonts w:cs="Calibri"/>
          <w:szCs w:val="21"/>
        </w:rPr>
        <w:t>finalized</w:t>
      </w:r>
      <w:r w:rsidRPr="000A7363">
        <w:rPr>
          <w:rFonts w:cs="Calibri"/>
          <w:szCs w:val="21"/>
        </w:rPr>
        <w:t xml:space="preserve"> the </w:t>
      </w:r>
      <w:r>
        <w:rPr>
          <w:rFonts w:cs="Calibri"/>
          <w:szCs w:val="21"/>
        </w:rPr>
        <w:t xml:space="preserve">business </w:t>
      </w:r>
      <w:r w:rsidRPr="000A7363">
        <w:rPr>
          <w:rFonts w:cs="Calibri"/>
          <w:szCs w:val="21"/>
        </w:rPr>
        <w:t>rules for determining which endorsements will be required for each of the 50 + teaching assignments available for reporting. Special rules are required for special education, specialist assignments (</w:t>
      </w:r>
      <w:r>
        <w:rPr>
          <w:rFonts w:cs="Calibri"/>
          <w:szCs w:val="21"/>
        </w:rPr>
        <w:t xml:space="preserve">e.g. </w:t>
      </w:r>
      <w:r w:rsidRPr="000A7363">
        <w:rPr>
          <w:rFonts w:cs="Calibri"/>
          <w:szCs w:val="21"/>
        </w:rPr>
        <w:t>elementary mathematics</w:t>
      </w:r>
      <w:r>
        <w:rPr>
          <w:rFonts w:cs="Calibri"/>
          <w:szCs w:val="21"/>
        </w:rPr>
        <w:t xml:space="preserve"> specialist</w:t>
      </w:r>
      <w:r w:rsidRPr="000A7363">
        <w:rPr>
          <w:rFonts w:cs="Calibri"/>
          <w:szCs w:val="21"/>
        </w:rPr>
        <w:t xml:space="preserve">), and Career and Technical Education.  These rules </w:t>
      </w:r>
      <w:r w:rsidRPr="006C519F">
        <w:rPr>
          <w:rFonts w:cs="Calibri"/>
          <w:szCs w:val="21"/>
        </w:rPr>
        <w:t xml:space="preserve">were </w:t>
      </w:r>
      <w:r w:rsidRPr="000A7363">
        <w:rPr>
          <w:rFonts w:cs="Calibri"/>
          <w:szCs w:val="21"/>
        </w:rPr>
        <w:t>provided to stakeholders for consideration and feedback</w:t>
      </w:r>
      <w:r>
        <w:rPr>
          <w:rFonts w:cs="Calibri"/>
          <w:szCs w:val="21"/>
        </w:rPr>
        <w:t xml:space="preserve"> this spring. Stakeholder groups </w:t>
      </w:r>
      <w:r w:rsidRPr="000A7363">
        <w:rPr>
          <w:rFonts w:cs="Calibri"/>
          <w:szCs w:val="21"/>
        </w:rPr>
        <w:t xml:space="preserve">include the Title I Committee of Practitioners, District Human Resource Directors, and </w:t>
      </w:r>
      <w:r>
        <w:rPr>
          <w:rFonts w:cs="Calibri"/>
          <w:szCs w:val="21"/>
        </w:rPr>
        <w:t xml:space="preserve">the </w:t>
      </w:r>
      <w:r w:rsidRPr="000A7363">
        <w:rPr>
          <w:rFonts w:cs="Calibri"/>
          <w:szCs w:val="21"/>
        </w:rPr>
        <w:t>Commissioner</w:t>
      </w:r>
      <w:r>
        <w:rPr>
          <w:rFonts w:cs="Calibri"/>
          <w:szCs w:val="21"/>
        </w:rPr>
        <w:t>’s</w:t>
      </w:r>
      <w:r w:rsidRPr="000A7363">
        <w:rPr>
          <w:rFonts w:cs="Calibri"/>
          <w:szCs w:val="21"/>
        </w:rPr>
        <w:t xml:space="preserve"> advisory committees</w:t>
      </w:r>
      <w:r>
        <w:rPr>
          <w:rFonts w:cs="Calibri"/>
          <w:szCs w:val="21"/>
        </w:rPr>
        <w:t xml:space="preserve">. </w:t>
      </w:r>
      <w:r w:rsidR="007E5090">
        <w:rPr>
          <w:rFonts w:cs="Calibri"/>
          <w:szCs w:val="21"/>
        </w:rPr>
        <w:t xml:space="preserve"> </w:t>
      </w:r>
    </w:p>
    <w:p w14:paraId="381A991E" w14:textId="0C0B195D" w:rsidR="0016672C" w:rsidRDefault="006C519F" w:rsidP="0016672C">
      <w:pPr>
        <w:rPr>
          <w:rFonts w:ascii="Calibri" w:eastAsia="Calibri" w:hAnsi="Calibri" w:cs="Calibri"/>
          <w:szCs w:val="21"/>
        </w:rPr>
      </w:pPr>
      <w:r>
        <w:rPr>
          <w:rFonts w:ascii="Calibri" w:eastAsia="Calibri" w:hAnsi="Calibri" w:cs="Calibri"/>
          <w:szCs w:val="21"/>
        </w:rPr>
        <w:t>DEED calculated</w:t>
      </w:r>
      <w:r w:rsidR="0016672C" w:rsidRPr="000A7363">
        <w:rPr>
          <w:rFonts w:ascii="Calibri" w:eastAsia="Calibri" w:hAnsi="Calibri" w:cs="Calibri"/>
          <w:szCs w:val="21"/>
        </w:rPr>
        <w:t xml:space="preserve"> the </w:t>
      </w:r>
      <w:r w:rsidR="0016672C">
        <w:rPr>
          <w:rFonts w:ascii="Calibri" w:eastAsia="Calibri" w:hAnsi="Calibri" w:cs="Calibri"/>
          <w:szCs w:val="21"/>
        </w:rPr>
        <w:t xml:space="preserve">preliminary </w:t>
      </w:r>
      <w:r w:rsidR="0016672C" w:rsidRPr="000A7363">
        <w:rPr>
          <w:rFonts w:ascii="Calibri" w:eastAsia="Calibri" w:hAnsi="Calibri" w:cs="Calibri"/>
          <w:szCs w:val="21"/>
        </w:rPr>
        <w:t>rates of out-of-field</w:t>
      </w:r>
      <w:r w:rsidR="0016672C">
        <w:rPr>
          <w:rFonts w:ascii="Calibri" w:eastAsia="Calibri" w:hAnsi="Calibri" w:cs="Calibri"/>
          <w:szCs w:val="21"/>
        </w:rPr>
        <w:t xml:space="preserve"> teachers for </w:t>
      </w:r>
      <w:r w:rsidR="0016672C" w:rsidRPr="006C519F">
        <w:rPr>
          <w:rFonts w:ascii="Calibri" w:eastAsia="Calibri" w:hAnsi="Calibri" w:cs="Calibri"/>
          <w:szCs w:val="21"/>
        </w:rPr>
        <w:t>2017-2018</w:t>
      </w:r>
      <w:r w:rsidR="0016672C">
        <w:rPr>
          <w:rFonts w:ascii="Calibri" w:eastAsia="Calibri" w:hAnsi="Calibri" w:cs="Calibri"/>
          <w:color w:val="FF0000"/>
          <w:szCs w:val="21"/>
        </w:rPr>
        <w:t xml:space="preserve"> </w:t>
      </w:r>
      <w:r w:rsidR="0016672C">
        <w:rPr>
          <w:rFonts w:ascii="Calibri" w:eastAsia="Calibri" w:hAnsi="Calibri" w:cs="Calibri"/>
          <w:szCs w:val="21"/>
        </w:rPr>
        <w:t xml:space="preserve">school year </w:t>
      </w:r>
      <w:r w:rsidR="0016672C" w:rsidRPr="006C519F">
        <w:rPr>
          <w:rFonts w:ascii="Calibri" w:eastAsia="Calibri" w:hAnsi="Calibri" w:cs="Calibri"/>
          <w:szCs w:val="21"/>
        </w:rPr>
        <w:t xml:space="preserve">when the new definition was in effect. </w:t>
      </w:r>
      <w:r w:rsidR="0016672C" w:rsidRPr="000A7363">
        <w:rPr>
          <w:rFonts w:ascii="Calibri" w:eastAsia="Calibri" w:hAnsi="Calibri" w:cs="Calibri"/>
          <w:szCs w:val="21"/>
        </w:rPr>
        <w:t xml:space="preserve"> Districts will be provided a preliminary </w:t>
      </w:r>
      <w:r w:rsidR="0016672C">
        <w:rPr>
          <w:rFonts w:ascii="Calibri" w:eastAsia="Calibri" w:hAnsi="Calibri" w:cs="Calibri"/>
          <w:szCs w:val="21"/>
        </w:rPr>
        <w:t xml:space="preserve">data </w:t>
      </w:r>
      <w:r w:rsidR="0016672C" w:rsidRPr="000A7363">
        <w:rPr>
          <w:rFonts w:ascii="Calibri" w:eastAsia="Calibri" w:hAnsi="Calibri" w:cs="Calibri"/>
          <w:szCs w:val="21"/>
        </w:rPr>
        <w:t>review to provide any necessary corrections and/or updates.</w:t>
      </w:r>
      <w:r>
        <w:rPr>
          <w:rFonts w:ascii="Calibri" w:eastAsia="Calibri" w:hAnsi="Calibri" w:cs="Calibri"/>
          <w:szCs w:val="21"/>
        </w:rPr>
        <w:t xml:space="preserve"> The final data for the </w:t>
      </w:r>
      <w:r w:rsidR="0016672C" w:rsidRPr="006C519F">
        <w:rPr>
          <w:rFonts w:ascii="Calibri" w:eastAsia="Calibri" w:hAnsi="Calibri" w:cs="Calibri"/>
          <w:szCs w:val="21"/>
        </w:rPr>
        <w:t xml:space="preserve">2017-2018 school year is </w:t>
      </w:r>
      <w:r w:rsidR="0016672C">
        <w:rPr>
          <w:rFonts w:ascii="Calibri" w:eastAsia="Calibri" w:hAnsi="Calibri" w:cs="Calibri"/>
          <w:szCs w:val="21"/>
        </w:rPr>
        <w:t>reported in the charts below and will be submitted to t</w:t>
      </w:r>
      <w:r>
        <w:rPr>
          <w:rFonts w:ascii="Calibri" w:eastAsia="Calibri" w:hAnsi="Calibri" w:cs="Calibri"/>
          <w:szCs w:val="21"/>
        </w:rPr>
        <w:t>he U.S. Department of Education</w:t>
      </w:r>
      <w:r w:rsidR="0016672C">
        <w:rPr>
          <w:rFonts w:ascii="Calibri" w:eastAsia="Calibri" w:hAnsi="Calibri" w:cs="Calibri"/>
          <w:szCs w:val="21"/>
        </w:rPr>
        <w:t xml:space="preserve"> as supplemental information for Alaska’s ESSA Consolidated State Plan.</w:t>
      </w:r>
    </w:p>
    <w:p w14:paraId="3FBCC0BA" w14:textId="496A4A40" w:rsidR="0016672C" w:rsidRDefault="0016672C" w:rsidP="0016672C">
      <w:pPr>
        <w:ind w:left="1126" w:right="1128"/>
        <w:jc w:val="center"/>
        <w:rPr>
          <w:rFonts w:ascii="Calibri" w:eastAsia="Calibri" w:hAnsi="Calibri" w:cs="Calibri"/>
        </w:rPr>
      </w:pPr>
      <w:r>
        <w:rPr>
          <w:rFonts w:ascii="Calibri"/>
          <w:b/>
          <w:spacing w:val="-1"/>
        </w:rPr>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Out-of-Field Teachers </w:t>
      </w:r>
      <w:r w:rsidRPr="006C519F">
        <w:rPr>
          <w:rFonts w:ascii="Calibri"/>
          <w:b/>
          <w:spacing w:val="-1"/>
        </w:rPr>
        <w:t>(2017-2018)</w:t>
      </w:r>
    </w:p>
    <w:tbl>
      <w:tblPr>
        <w:tblW w:w="9852" w:type="dxa"/>
        <w:tblLayout w:type="fixed"/>
        <w:tblLook w:val="04A0" w:firstRow="1" w:lastRow="0" w:firstColumn="1" w:lastColumn="0" w:noHBand="0" w:noVBand="1"/>
      </w:tblPr>
      <w:tblGrid>
        <w:gridCol w:w="1325"/>
        <w:gridCol w:w="947"/>
        <w:gridCol w:w="947"/>
        <w:gridCol w:w="948"/>
        <w:gridCol w:w="947"/>
        <w:gridCol w:w="948"/>
        <w:gridCol w:w="947"/>
        <w:gridCol w:w="948"/>
        <w:gridCol w:w="947"/>
        <w:gridCol w:w="948"/>
      </w:tblGrid>
      <w:tr w:rsidR="006C519F" w:rsidRPr="006C519F" w14:paraId="24E3142D" w14:textId="77777777" w:rsidTr="00ED6A6E">
        <w:trPr>
          <w:trHeight w:val="2026"/>
        </w:trPr>
        <w:tc>
          <w:tcPr>
            <w:tcW w:w="1325" w:type="dxa"/>
            <w:tcBorders>
              <w:top w:val="single" w:sz="4" w:space="0" w:color="auto"/>
              <w:left w:val="single" w:sz="4" w:space="0" w:color="auto"/>
              <w:bottom w:val="single" w:sz="4" w:space="0" w:color="auto"/>
              <w:right w:val="nil"/>
            </w:tcBorders>
            <w:shd w:val="clear" w:color="auto" w:fill="auto"/>
            <w:vAlign w:val="center"/>
          </w:tcPr>
          <w:p w14:paraId="5327FFB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School type</w:t>
            </w:r>
          </w:p>
        </w:tc>
        <w:tc>
          <w:tcPr>
            <w:tcW w:w="947" w:type="dxa"/>
            <w:tcBorders>
              <w:top w:val="single" w:sz="4" w:space="0" w:color="auto"/>
              <w:left w:val="single" w:sz="8" w:space="0" w:color="auto"/>
              <w:bottom w:val="single" w:sz="4" w:space="0" w:color="auto"/>
              <w:right w:val="single" w:sz="4" w:space="0" w:color="auto"/>
            </w:tcBorders>
            <w:shd w:val="clear" w:color="auto" w:fill="auto"/>
            <w:textDirection w:val="btLr"/>
            <w:vAlign w:val="center"/>
          </w:tcPr>
          <w:p w14:paraId="408A341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High Poverty Quartile</w:t>
            </w:r>
            <w:r w:rsidRPr="006C519F">
              <w:rPr>
                <w:rFonts w:ascii="Calibri" w:eastAsia="Times New Roman" w:hAnsi="Calibri" w:cs="Calibri"/>
                <w:sz w:val="18"/>
                <w:szCs w:val="18"/>
              </w:rPr>
              <w:br/>
              <w:t># out-of-field teachers</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14:paraId="10FD7F6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High Poverty Quartile</w:t>
            </w:r>
            <w:r w:rsidRPr="006C519F">
              <w:rPr>
                <w:rFonts w:ascii="Calibri" w:eastAsia="Times New Roman" w:hAnsi="Calibri" w:cs="Calibri"/>
                <w:sz w:val="18"/>
                <w:szCs w:val="18"/>
              </w:rPr>
              <w:br/>
              <w:t xml:space="preserve"> Total teachers</w:t>
            </w:r>
          </w:p>
        </w:tc>
        <w:tc>
          <w:tcPr>
            <w:tcW w:w="948" w:type="dxa"/>
            <w:tcBorders>
              <w:top w:val="single" w:sz="4" w:space="0" w:color="auto"/>
              <w:left w:val="nil"/>
              <w:bottom w:val="single" w:sz="4" w:space="0" w:color="auto"/>
              <w:right w:val="double" w:sz="4" w:space="0" w:color="auto"/>
            </w:tcBorders>
            <w:shd w:val="clear" w:color="auto" w:fill="auto"/>
            <w:textDirection w:val="btLr"/>
            <w:vAlign w:val="center"/>
          </w:tcPr>
          <w:p w14:paraId="680D172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High Poverty Quartile</w:t>
            </w:r>
            <w:r w:rsidRPr="006C519F">
              <w:rPr>
                <w:rFonts w:ascii="Calibri" w:eastAsia="Times New Roman" w:hAnsi="Calibri" w:cs="Calibri"/>
                <w:sz w:val="18"/>
                <w:szCs w:val="18"/>
              </w:rPr>
              <w:br/>
              <w:t xml:space="preserve"> % out-of-field</w:t>
            </w:r>
          </w:p>
        </w:tc>
        <w:tc>
          <w:tcPr>
            <w:tcW w:w="947"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593D849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out-of-field teachers</w:t>
            </w:r>
          </w:p>
        </w:tc>
        <w:tc>
          <w:tcPr>
            <w:tcW w:w="948" w:type="dxa"/>
            <w:tcBorders>
              <w:top w:val="single" w:sz="4" w:space="0" w:color="auto"/>
              <w:left w:val="nil"/>
              <w:bottom w:val="single" w:sz="4" w:space="0" w:color="auto"/>
              <w:right w:val="single" w:sz="4" w:space="0" w:color="auto"/>
            </w:tcBorders>
            <w:shd w:val="clear" w:color="auto" w:fill="auto"/>
            <w:textDirection w:val="btLr"/>
            <w:vAlign w:val="center"/>
          </w:tcPr>
          <w:p w14:paraId="281362E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xml:space="preserve"> Total teachers</w:t>
            </w:r>
          </w:p>
        </w:tc>
        <w:tc>
          <w:tcPr>
            <w:tcW w:w="947" w:type="dxa"/>
            <w:tcBorders>
              <w:top w:val="single" w:sz="4" w:space="0" w:color="auto"/>
              <w:left w:val="nil"/>
              <w:bottom w:val="single" w:sz="4" w:space="0" w:color="auto"/>
              <w:right w:val="double" w:sz="4" w:space="0" w:color="auto"/>
            </w:tcBorders>
            <w:shd w:val="clear" w:color="auto" w:fill="auto"/>
            <w:textDirection w:val="btLr"/>
            <w:vAlign w:val="center"/>
          </w:tcPr>
          <w:p w14:paraId="0AC6028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xml:space="preserve"> % out-of-field</w:t>
            </w:r>
          </w:p>
        </w:tc>
        <w:tc>
          <w:tcPr>
            <w:tcW w:w="94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695C8B6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All Schools</w:t>
            </w:r>
            <w:r w:rsidRPr="006C519F">
              <w:rPr>
                <w:rFonts w:ascii="Calibri" w:eastAsia="Times New Roman" w:hAnsi="Calibri" w:cs="Calibri"/>
                <w:sz w:val="18"/>
                <w:szCs w:val="18"/>
              </w:rPr>
              <w:br/>
              <w:t># out-of-field teachers</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14:paraId="1E5CC064"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 xml:space="preserve">All Schools </w:t>
            </w:r>
            <w:r w:rsidRPr="006C519F">
              <w:rPr>
                <w:rFonts w:ascii="Calibri" w:eastAsia="Times New Roman" w:hAnsi="Calibri" w:cs="Calibri"/>
                <w:sz w:val="18"/>
                <w:szCs w:val="18"/>
              </w:rPr>
              <w:br/>
              <w:t>Total teachers</w:t>
            </w:r>
          </w:p>
        </w:tc>
        <w:tc>
          <w:tcPr>
            <w:tcW w:w="948" w:type="dxa"/>
            <w:tcBorders>
              <w:top w:val="single" w:sz="4" w:space="0" w:color="auto"/>
              <w:left w:val="nil"/>
              <w:bottom w:val="single" w:sz="4" w:space="0" w:color="auto"/>
              <w:right w:val="single" w:sz="4" w:space="0" w:color="auto"/>
            </w:tcBorders>
            <w:shd w:val="clear" w:color="auto" w:fill="auto"/>
            <w:textDirection w:val="btLr"/>
            <w:vAlign w:val="center"/>
          </w:tcPr>
          <w:p w14:paraId="674D8B3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sz w:val="18"/>
                <w:szCs w:val="18"/>
              </w:rPr>
              <w:t xml:space="preserve">All Schools </w:t>
            </w:r>
            <w:r w:rsidRPr="006C519F">
              <w:rPr>
                <w:rFonts w:ascii="Calibri" w:eastAsia="Times New Roman" w:hAnsi="Calibri" w:cs="Calibri"/>
                <w:sz w:val="18"/>
                <w:szCs w:val="18"/>
              </w:rPr>
              <w:br/>
              <w:t>% out-of-field</w:t>
            </w:r>
          </w:p>
        </w:tc>
      </w:tr>
      <w:tr w:rsidR="006C519F" w:rsidRPr="006C519F" w14:paraId="6D4A11C4" w14:textId="77777777" w:rsidTr="00ED6A6E">
        <w:trPr>
          <w:trHeight w:val="351"/>
        </w:trPr>
        <w:tc>
          <w:tcPr>
            <w:tcW w:w="1325" w:type="dxa"/>
            <w:tcBorders>
              <w:top w:val="nil"/>
              <w:left w:val="single" w:sz="4" w:space="0" w:color="auto"/>
              <w:bottom w:val="single" w:sz="4" w:space="0" w:color="auto"/>
              <w:right w:val="nil"/>
            </w:tcBorders>
            <w:shd w:val="clear" w:color="000000" w:fill="F2F2F2"/>
            <w:vAlign w:val="center"/>
            <w:hideMark/>
          </w:tcPr>
          <w:p w14:paraId="3689CF9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Title I</w:t>
            </w:r>
          </w:p>
        </w:tc>
        <w:tc>
          <w:tcPr>
            <w:tcW w:w="947" w:type="dxa"/>
            <w:tcBorders>
              <w:top w:val="nil"/>
              <w:left w:val="single" w:sz="8" w:space="0" w:color="auto"/>
              <w:bottom w:val="single" w:sz="4" w:space="0" w:color="auto"/>
              <w:right w:val="single" w:sz="4" w:space="0" w:color="auto"/>
            </w:tcBorders>
            <w:shd w:val="clear" w:color="000000" w:fill="F2F2F2"/>
            <w:vAlign w:val="center"/>
            <w:hideMark/>
          </w:tcPr>
          <w:p w14:paraId="5FEE04D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264.09</w:t>
            </w:r>
          </w:p>
        </w:tc>
        <w:tc>
          <w:tcPr>
            <w:tcW w:w="947" w:type="dxa"/>
            <w:tcBorders>
              <w:top w:val="nil"/>
              <w:left w:val="nil"/>
              <w:bottom w:val="single" w:sz="4" w:space="0" w:color="auto"/>
              <w:right w:val="single" w:sz="4" w:space="0" w:color="auto"/>
            </w:tcBorders>
            <w:shd w:val="clear" w:color="000000" w:fill="F2F2F2"/>
            <w:vAlign w:val="center"/>
            <w:hideMark/>
          </w:tcPr>
          <w:p w14:paraId="493C60E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1379.41</w:t>
            </w:r>
          </w:p>
        </w:tc>
        <w:tc>
          <w:tcPr>
            <w:tcW w:w="948" w:type="dxa"/>
            <w:tcBorders>
              <w:top w:val="nil"/>
              <w:left w:val="nil"/>
              <w:bottom w:val="single" w:sz="4" w:space="0" w:color="auto"/>
              <w:right w:val="double" w:sz="4" w:space="0" w:color="auto"/>
            </w:tcBorders>
            <w:shd w:val="clear" w:color="000000" w:fill="F2F2F2"/>
            <w:vAlign w:val="center"/>
            <w:hideMark/>
          </w:tcPr>
          <w:p w14:paraId="2C5F667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19.1%</w:t>
            </w:r>
          </w:p>
        </w:tc>
        <w:tc>
          <w:tcPr>
            <w:tcW w:w="947" w:type="dxa"/>
            <w:tcBorders>
              <w:top w:val="nil"/>
              <w:left w:val="double" w:sz="4" w:space="0" w:color="auto"/>
              <w:bottom w:val="single" w:sz="4" w:space="0" w:color="auto"/>
              <w:right w:val="single" w:sz="4" w:space="0" w:color="auto"/>
            </w:tcBorders>
            <w:shd w:val="clear" w:color="000000" w:fill="F2F2F2"/>
            <w:vAlign w:val="center"/>
            <w:hideMark/>
          </w:tcPr>
          <w:p w14:paraId="62EB0BE4"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14.44</w:t>
            </w:r>
          </w:p>
        </w:tc>
        <w:tc>
          <w:tcPr>
            <w:tcW w:w="948" w:type="dxa"/>
            <w:tcBorders>
              <w:top w:val="nil"/>
              <w:left w:val="nil"/>
              <w:bottom w:val="single" w:sz="4" w:space="0" w:color="auto"/>
              <w:right w:val="single" w:sz="4" w:space="0" w:color="auto"/>
            </w:tcBorders>
            <w:shd w:val="clear" w:color="000000" w:fill="F2F2F2"/>
            <w:vAlign w:val="center"/>
            <w:hideMark/>
          </w:tcPr>
          <w:p w14:paraId="6E34252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82.60</w:t>
            </w:r>
          </w:p>
        </w:tc>
        <w:tc>
          <w:tcPr>
            <w:tcW w:w="947" w:type="dxa"/>
            <w:tcBorders>
              <w:top w:val="nil"/>
              <w:left w:val="nil"/>
              <w:bottom w:val="single" w:sz="4" w:space="0" w:color="auto"/>
              <w:right w:val="double" w:sz="4" w:space="0" w:color="auto"/>
            </w:tcBorders>
            <w:shd w:val="clear" w:color="000000" w:fill="F2F2F2"/>
            <w:vAlign w:val="center"/>
            <w:hideMark/>
          </w:tcPr>
          <w:p w14:paraId="61826EF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17.5%</w:t>
            </w:r>
          </w:p>
        </w:tc>
        <w:tc>
          <w:tcPr>
            <w:tcW w:w="948" w:type="dxa"/>
            <w:tcBorders>
              <w:top w:val="nil"/>
              <w:left w:val="double" w:sz="4" w:space="0" w:color="auto"/>
              <w:bottom w:val="single" w:sz="4" w:space="0" w:color="auto"/>
              <w:right w:val="single" w:sz="4" w:space="0" w:color="auto"/>
            </w:tcBorders>
            <w:shd w:val="clear" w:color="000000" w:fill="F2F2F2"/>
            <w:vAlign w:val="center"/>
            <w:hideMark/>
          </w:tcPr>
          <w:p w14:paraId="63E8925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731.39</w:t>
            </w:r>
          </w:p>
        </w:tc>
        <w:tc>
          <w:tcPr>
            <w:tcW w:w="947" w:type="dxa"/>
            <w:tcBorders>
              <w:top w:val="nil"/>
              <w:left w:val="nil"/>
              <w:bottom w:val="single" w:sz="4" w:space="0" w:color="auto"/>
              <w:right w:val="single" w:sz="4" w:space="0" w:color="auto"/>
            </w:tcBorders>
            <w:shd w:val="clear" w:color="000000" w:fill="F2F2F2"/>
            <w:vAlign w:val="center"/>
            <w:hideMark/>
          </w:tcPr>
          <w:p w14:paraId="6C42D07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3587.21</w:t>
            </w:r>
          </w:p>
        </w:tc>
        <w:tc>
          <w:tcPr>
            <w:tcW w:w="948" w:type="dxa"/>
            <w:tcBorders>
              <w:top w:val="nil"/>
              <w:left w:val="nil"/>
              <w:bottom w:val="single" w:sz="4" w:space="0" w:color="auto"/>
              <w:right w:val="single" w:sz="4" w:space="0" w:color="auto"/>
            </w:tcBorders>
            <w:shd w:val="clear" w:color="000000" w:fill="F2F2F2"/>
            <w:vAlign w:val="center"/>
            <w:hideMark/>
          </w:tcPr>
          <w:p w14:paraId="5A43922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20.4%</w:t>
            </w:r>
          </w:p>
        </w:tc>
      </w:tr>
      <w:tr w:rsidR="006C519F" w:rsidRPr="006C519F" w14:paraId="604D479A" w14:textId="77777777" w:rsidTr="00ED6A6E">
        <w:trPr>
          <w:trHeight w:val="351"/>
        </w:trPr>
        <w:tc>
          <w:tcPr>
            <w:tcW w:w="1325" w:type="dxa"/>
            <w:tcBorders>
              <w:top w:val="nil"/>
              <w:left w:val="single" w:sz="4" w:space="0" w:color="auto"/>
              <w:bottom w:val="single" w:sz="4" w:space="0" w:color="auto"/>
              <w:right w:val="nil"/>
            </w:tcBorders>
            <w:shd w:val="clear" w:color="auto" w:fill="auto"/>
            <w:vAlign w:val="center"/>
            <w:hideMark/>
          </w:tcPr>
          <w:p w14:paraId="4D98903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Non-Title I</w:t>
            </w:r>
          </w:p>
        </w:tc>
        <w:tc>
          <w:tcPr>
            <w:tcW w:w="947" w:type="dxa"/>
            <w:tcBorders>
              <w:top w:val="nil"/>
              <w:left w:val="single" w:sz="8" w:space="0" w:color="auto"/>
              <w:bottom w:val="single" w:sz="4" w:space="0" w:color="auto"/>
              <w:right w:val="single" w:sz="4" w:space="0" w:color="auto"/>
            </w:tcBorders>
            <w:shd w:val="clear" w:color="auto" w:fill="auto"/>
            <w:vAlign w:val="center"/>
            <w:hideMark/>
          </w:tcPr>
          <w:p w14:paraId="70E1DD0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27.27</w:t>
            </w:r>
          </w:p>
        </w:tc>
        <w:tc>
          <w:tcPr>
            <w:tcW w:w="947" w:type="dxa"/>
            <w:tcBorders>
              <w:top w:val="nil"/>
              <w:left w:val="nil"/>
              <w:bottom w:val="single" w:sz="4" w:space="0" w:color="auto"/>
              <w:right w:val="single" w:sz="4" w:space="0" w:color="auto"/>
            </w:tcBorders>
            <w:shd w:val="clear" w:color="auto" w:fill="auto"/>
            <w:vAlign w:val="center"/>
            <w:hideMark/>
          </w:tcPr>
          <w:p w14:paraId="23E86AB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179.81</w:t>
            </w:r>
          </w:p>
        </w:tc>
        <w:tc>
          <w:tcPr>
            <w:tcW w:w="948" w:type="dxa"/>
            <w:tcBorders>
              <w:top w:val="nil"/>
              <w:left w:val="nil"/>
              <w:bottom w:val="single" w:sz="4" w:space="0" w:color="auto"/>
              <w:right w:val="double" w:sz="4" w:space="0" w:color="auto"/>
            </w:tcBorders>
            <w:shd w:val="clear" w:color="auto" w:fill="auto"/>
            <w:vAlign w:val="center"/>
            <w:hideMark/>
          </w:tcPr>
          <w:p w14:paraId="265207E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15.2%</w:t>
            </w:r>
          </w:p>
        </w:tc>
        <w:tc>
          <w:tcPr>
            <w:tcW w:w="947" w:type="dxa"/>
            <w:tcBorders>
              <w:top w:val="nil"/>
              <w:left w:val="double" w:sz="4" w:space="0" w:color="auto"/>
              <w:bottom w:val="single" w:sz="4" w:space="0" w:color="auto"/>
              <w:right w:val="single" w:sz="4" w:space="0" w:color="auto"/>
            </w:tcBorders>
            <w:shd w:val="clear" w:color="auto" w:fill="auto"/>
            <w:vAlign w:val="center"/>
            <w:hideMark/>
          </w:tcPr>
          <w:p w14:paraId="34060F9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519.47</w:t>
            </w:r>
          </w:p>
        </w:tc>
        <w:tc>
          <w:tcPr>
            <w:tcW w:w="948" w:type="dxa"/>
            <w:tcBorders>
              <w:top w:val="nil"/>
              <w:left w:val="nil"/>
              <w:bottom w:val="single" w:sz="4" w:space="0" w:color="auto"/>
              <w:right w:val="single" w:sz="4" w:space="0" w:color="auto"/>
            </w:tcBorders>
            <w:shd w:val="clear" w:color="auto" w:fill="auto"/>
            <w:vAlign w:val="center"/>
            <w:hideMark/>
          </w:tcPr>
          <w:p w14:paraId="6790280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2106.10</w:t>
            </w:r>
          </w:p>
        </w:tc>
        <w:tc>
          <w:tcPr>
            <w:tcW w:w="947" w:type="dxa"/>
            <w:tcBorders>
              <w:top w:val="nil"/>
              <w:left w:val="nil"/>
              <w:bottom w:val="single" w:sz="4" w:space="0" w:color="auto"/>
              <w:right w:val="double" w:sz="4" w:space="0" w:color="auto"/>
            </w:tcBorders>
            <w:shd w:val="clear" w:color="auto" w:fill="auto"/>
            <w:vAlign w:val="center"/>
            <w:hideMark/>
          </w:tcPr>
          <w:p w14:paraId="205CAC8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24.7%</w:t>
            </w:r>
          </w:p>
        </w:tc>
        <w:tc>
          <w:tcPr>
            <w:tcW w:w="948" w:type="dxa"/>
            <w:tcBorders>
              <w:top w:val="nil"/>
              <w:left w:val="double" w:sz="4" w:space="0" w:color="auto"/>
              <w:bottom w:val="single" w:sz="4" w:space="0" w:color="auto"/>
              <w:right w:val="single" w:sz="4" w:space="0" w:color="auto"/>
            </w:tcBorders>
            <w:shd w:val="clear" w:color="auto" w:fill="auto"/>
            <w:vAlign w:val="center"/>
            <w:hideMark/>
          </w:tcPr>
          <w:p w14:paraId="1E526C1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995.36</w:t>
            </w:r>
          </w:p>
        </w:tc>
        <w:tc>
          <w:tcPr>
            <w:tcW w:w="947" w:type="dxa"/>
            <w:tcBorders>
              <w:top w:val="nil"/>
              <w:left w:val="nil"/>
              <w:bottom w:val="single" w:sz="4" w:space="0" w:color="auto"/>
              <w:right w:val="single" w:sz="4" w:space="0" w:color="auto"/>
            </w:tcBorders>
            <w:shd w:val="clear" w:color="auto" w:fill="auto"/>
            <w:vAlign w:val="center"/>
            <w:hideMark/>
          </w:tcPr>
          <w:p w14:paraId="5B08792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4063.62</w:t>
            </w:r>
          </w:p>
        </w:tc>
        <w:tc>
          <w:tcPr>
            <w:tcW w:w="948" w:type="dxa"/>
            <w:tcBorders>
              <w:top w:val="nil"/>
              <w:left w:val="nil"/>
              <w:bottom w:val="single" w:sz="4" w:space="0" w:color="auto"/>
              <w:right w:val="single" w:sz="4" w:space="0" w:color="auto"/>
            </w:tcBorders>
            <w:shd w:val="clear" w:color="auto" w:fill="auto"/>
            <w:vAlign w:val="center"/>
            <w:hideMark/>
          </w:tcPr>
          <w:p w14:paraId="6F1DAB9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24.5%</w:t>
            </w:r>
          </w:p>
        </w:tc>
      </w:tr>
      <w:tr w:rsidR="006C519F" w:rsidRPr="006C519F" w14:paraId="55150E89" w14:textId="77777777" w:rsidTr="00ED6A6E">
        <w:trPr>
          <w:trHeight w:val="369"/>
        </w:trPr>
        <w:tc>
          <w:tcPr>
            <w:tcW w:w="1325" w:type="dxa"/>
            <w:tcBorders>
              <w:top w:val="nil"/>
              <w:left w:val="single" w:sz="4" w:space="0" w:color="auto"/>
              <w:bottom w:val="single" w:sz="4" w:space="0" w:color="auto"/>
              <w:right w:val="nil"/>
            </w:tcBorders>
            <w:shd w:val="clear" w:color="000000" w:fill="F2F2F2"/>
            <w:vAlign w:val="center"/>
            <w:hideMark/>
          </w:tcPr>
          <w:p w14:paraId="0FC0C72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All schools</w:t>
            </w:r>
          </w:p>
        </w:tc>
        <w:tc>
          <w:tcPr>
            <w:tcW w:w="947" w:type="dxa"/>
            <w:tcBorders>
              <w:top w:val="nil"/>
              <w:left w:val="single" w:sz="8" w:space="0" w:color="auto"/>
              <w:bottom w:val="single" w:sz="8" w:space="0" w:color="auto"/>
              <w:right w:val="single" w:sz="4" w:space="0" w:color="auto"/>
            </w:tcBorders>
            <w:shd w:val="clear" w:color="000000" w:fill="F2F2F2"/>
            <w:vAlign w:val="center"/>
            <w:hideMark/>
          </w:tcPr>
          <w:p w14:paraId="71A5AFD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291.36</w:t>
            </w:r>
          </w:p>
        </w:tc>
        <w:tc>
          <w:tcPr>
            <w:tcW w:w="947" w:type="dxa"/>
            <w:tcBorders>
              <w:top w:val="nil"/>
              <w:left w:val="nil"/>
              <w:bottom w:val="single" w:sz="8" w:space="0" w:color="auto"/>
              <w:right w:val="single" w:sz="4" w:space="0" w:color="auto"/>
            </w:tcBorders>
            <w:shd w:val="clear" w:color="000000" w:fill="F2F2F2"/>
            <w:vAlign w:val="center"/>
            <w:hideMark/>
          </w:tcPr>
          <w:p w14:paraId="7C5872B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1559.22</w:t>
            </w:r>
          </w:p>
        </w:tc>
        <w:tc>
          <w:tcPr>
            <w:tcW w:w="948" w:type="dxa"/>
            <w:tcBorders>
              <w:top w:val="nil"/>
              <w:left w:val="nil"/>
              <w:bottom w:val="single" w:sz="8" w:space="0" w:color="auto"/>
              <w:right w:val="double" w:sz="4" w:space="0" w:color="auto"/>
            </w:tcBorders>
            <w:shd w:val="clear" w:color="000000" w:fill="F2F2F2"/>
            <w:vAlign w:val="center"/>
            <w:hideMark/>
          </w:tcPr>
          <w:p w14:paraId="6835068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18.7%</w:t>
            </w:r>
          </w:p>
        </w:tc>
        <w:tc>
          <w:tcPr>
            <w:tcW w:w="947" w:type="dxa"/>
            <w:tcBorders>
              <w:top w:val="nil"/>
              <w:left w:val="double" w:sz="4" w:space="0" w:color="auto"/>
              <w:bottom w:val="single" w:sz="8" w:space="0" w:color="auto"/>
              <w:right w:val="single" w:sz="4" w:space="0" w:color="auto"/>
            </w:tcBorders>
            <w:shd w:val="clear" w:color="000000" w:fill="F2F2F2"/>
            <w:vAlign w:val="center"/>
            <w:hideMark/>
          </w:tcPr>
          <w:p w14:paraId="5548709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533.91</w:t>
            </w:r>
          </w:p>
        </w:tc>
        <w:tc>
          <w:tcPr>
            <w:tcW w:w="948" w:type="dxa"/>
            <w:tcBorders>
              <w:top w:val="nil"/>
              <w:left w:val="nil"/>
              <w:bottom w:val="single" w:sz="8" w:space="0" w:color="auto"/>
              <w:right w:val="single" w:sz="4" w:space="0" w:color="auto"/>
            </w:tcBorders>
            <w:shd w:val="clear" w:color="000000" w:fill="F2F2F2"/>
            <w:vAlign w:val="center"/>
            <w:hideMark/>
          </w:tcPr>
          <w:p w14:paraId="57141AE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2188.7</w:t>
            </w:r>
          </w:p>
        </w:tc>
        <w:tc>
          <w:tcPr>
            <w:tcW w:w="947" w:type="dxa"/>
            <w:tcBorders>
              <w:top w:val="nil"/>
              <w:left w:val="nil"/>
              <w:bottom w:val="single" w:sz="8" w:space="0" w:color="auto"/>
              <w:right w:val="double" w:sz="4" w:space="0" w:color="auto"/>
            </w:tcBorders>
            <w:shd w:val="clear" w:color="000000" w:fill="F2F2F2"/>
            <w:vAlign w:val="center"/>
            <w:hideMark/>
          </w:tcPr>
          <w:p w14:paraId="39583BA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24.4%</w:t>
            </w:r>
          </w:p>
        </w:tc>
        <w:tc>
          <w:tcPr>
            <w:tcW w:w="948" w:type="dxa"/>
            <w:tcBorders>
              <w:top w:val="nil"/>
              <w:left w:val="double" w:sz="4" w:space="0" w:color="auto"/>
              <w:bottom w:val="single" w:sz="4" w:space="0" w:color="auto"/>
              <w:right w:val="single" w:sz="4" w:space="0" w:color="auto"/>
            </w:tcBorders>
            <w:shd w:val="clear" w:color="000000" w:fill="F2F2F2"/>
            <w:vAlign w:val="center"/>
            <w:hideMark/>
          </w:tcPr>
          <w:p w14:paraId="08F435B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1726.75</w:t>
            </w:r>
          </w:p>
        </w:tc>
        <w:tc>
          <w:tcPr>
            <w:tcW w:w="947" w:type="dxa"/>
            <w:tcBorders>
              <w:top w:val="nil"/>
              <w:left w:val="nil"/>
              <w:bottom w:val="single" w:sz="4" w:space="0" w:color="auto"/>
              <w:right w:val="single" w:sz="4" w:space="0" w:color="auto"/>
            </w:tcBorders>
            <w:shd w:val="clear" w:color="000000" w:fill="F2F2F2"/>
            <w:vAlign w:val="center"/>
            <w:hideMark/>
          </w:tcPr>
          <w:p w14:paraId="1BBD064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7650.83</w:t>
            </w:r>
          </w:p>
        </w:tc>
        <w:tc>
          <w:tcPr>
            <w:tcW w:w="948" w:type="dxa"/>
            <w:tcBorders>
              <w:top w:val="nil"/>
              <w:left w:val="nil"/>
              <w:bottom w:val="single" w:sz="4" w:space="0" w:color="auto"/>
              <w:right w:val="single" w:sz="4" w:space="0" w:color="auto"/>
            </w:tcBorders>
            <w:shd w:val="clear" w:color="000000" w:fill="F2F2F2"/>
            <w:vAlign w:val="center"/>
            <w:hideMark/>
          </w:tcPr>
          <w:p w14:paraId="3DA7452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22.6%</w:t>
            </w:r>
          </w:p>
        </w:tc>
      </w:tr>
    </w:tbl>
    <w:p w14:paraId="67C5B9E7" w14:textId="494D89CC" w:rsidR="007E5090" w:rsidRDefault="007E5090" w:rsidP="00987664">
      <w:pPr>
        <w:rPr>
          <w:rFonts w:ascii="Calibri" w:eastAsia="Calibri" w:hAnsi="Calibri" w:cs="Calibri"/>
          <w:szCs w:val="21"/>
        </w:rPr>
      </w:pPr>
    </w:p>
    <w:p w14:paraId="0552D316" w14:textId="77777777" w:rsidR="0016672C" w:rsidRPr="006C519F" w:rsidRDefault="0016672C" w:rsidP="0016672C">
      <w:pPr>
        <w:rPr>
          <w:rFonts w:ascii="Calibri" w:eastAsia="Calibri" w:hAnsi="Calibri" w:cs="Calibri"/>
          <w:szCs w:val="21"/>
        </w:rPr>
      </w:pPr>
      <w:r w:rsidRPr="006C519F">
        <w:rPr>
          <w:spacing w:val="-1"/>
        </w:rPr>
        <w:t>Note: Teachers were not reported who were assigned to schools with no enrollment (includes shared-time status schools where students are enrolled in their school of attendance) or assigned to the district office rather than a school. This data was previously compiled by the number of classes taught by an out-of-field teachers. To match the Ed Facts data collection, this data is now compiled using FTE instead of class count.  Since out-of-field definition is linked to certification, the addition of endorsements could occur on the three to five year certificate cycle.</w:t>
      </w:r>
    </w:p>
    <w:p w14:paraId="3EAC2D34" w14:textId="73E2EE11" w:rsidR="0016672C" w:rsidRDefault="0016672C" w:rsidP="00987664">
      <w:pPr>
        <w:rPr>
          <w:rFonts w:ascii="Calibri" w:eastAsia="Calibri" w:hAnsi="Calibri" w:cs="Calibri"/>
          <w:szCs w:val="21"/>
        </w:rPr>
      </w:pPr>
      <w:r>
        <w:rPr>
          <w:rFonts w:ascii="Calibri" w:eastAsia="Calibri" w:hAnsi="Calibri" w:cs="Calibri"/>
          <w:szCs w:val="21"/>
        </w:rPr>
        <w:br w:type="page"/>
      </w:r>
    </w:p>
    <w:p w14:paraId="6588617E" w14:textId="2F4EC106" w:rsidR="0016672C" w:rsidRDefault="0016672C" w:rsidP="0016672C">
      <w:pPr>
        <w:ind w:left="2223" w:right="2224"/>
        <w:jc w:val="center"/>
        <w:rPr>
          <w:rFonts w:ascii="Calibri"/>
          <w:b/>
          <w:spacing w:val="-1"/>
        </w:rPr>
      </w:pPr>
      <w:r>
        <w:rPr>
          <w:rFonts w:ascii="Calibri"/>
          <w:b/>
          <w:spacing w:val="-1"/>
        </w:rPr>
        <w:lastRenderedPageBreak/>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Out-of-Field Teachers</w:t>
      </w:r>
      <w:r w:rsidRPr="006C519F">
        <w:rPr>
          <w:rFonts w:ascii="Calibri"/>
          <w:b/>
          <w:spacing w:val="-1"/>
        </w:rPr>
        <w:t xml:space="preserve"> (</w:t>
      </w:r>
      <w:r w:rsidR="006C519F">
        <w:rPr>
          <w:rFonts w:ascii="Calibri"/>
          <w:b/>
          <w:spacing w:val="-1"/>
        </w:rPr>
        <w:t>2017-</w:t>
      </w:r>
      <w:r w:rsidRPr="006C519F">
        <w:rPr>
          <w:rFonts w:ascii="Calibri"/>
          <w:b/>
          <w:spacing w:val="-1"/>
        </w:rPr>
        <w:t>2018)</w:t>
      </w:r>
    </w:p>
    <w:tbl>
      <w:tblPr>
        <w:tblW w:w="9785" w:type="dxa"/>
        <w:jc w:val="center"/>
        <w:tblLayout w:type="fixed"/>
        <w:tblLook w:val="04A0" w:firstRow="1" w:lastRow="0" w:firstColumn="1" w:lastColumn="0" w:noHBand="0" w:noVBand="1"/>
      </w:tblPr>
      <w:tblGrid>
        <w:gridCol w:w="1292"/>
        <w:gridCol w:w="943"/>
        <w:gridCol w:w="944"/>
        <w:gridCol w:w="944"/>
        <w:gridCol w:w="943"/>
        <w:gridCol w:w="944"/>
        <w:gridCol w:w="944"/>
        <w:gridCol w:w="943"/>
        <w:gridCol w:w="944"/>
        <w:gridCol w:w="944"/>
      </w:tblGrid>
      <w:tr w:rsidR="006C519F" w:rsidRPr="006C519F" w14:paraId="11C4ADE3" w14:textId="77777777" w:rsidTr="00ED6A6E">
        <w:trPr>
          <w:trHeight w:val="1712"/>
          <w:jc w:val="center"/>
        </w:trPr>
        <w:tc>
          <w:tcPr>
            <w:tcW w:w="1292" w:type="dxa"/>
            <w:tcBorders>
              <w:top w:val="single" w:sz="4" w:space="0" w:color="auto"/>
              <w:left w:val="single" w:sz="4" w:space="0" w:color="auto"/>
              <w:bottom w:val="single" w:sz="4" w:space="0" w:color="auto"/>
              <w:right w:val="single" w:sz="4" w:space="0" w:color="auto"/>
            </w:tcBorders>
            <w:vAlign w:val="center"/>
            <w:hideMark/>
          </w:tcPr>
          <w:p w14:paraId="61FFA14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School type</w:t>
            </w:r>
          </w:p>
        </w:tc>
        <w:tc>
          <w:tcPr>
            <w:tcW w:w="943"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26DAC0A4"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Minority quartile</w:t>
            </w:r>
            <w:r w:rsidRPr="006C519F">
              <w:rPr>
                <w:rFonts w:ascii="Calibri" w:eastAsia="Times New Roman" w:hAnsi="Calibri" w:cs="Calibri"/>
                <w:sz w:val="18"/>
                <w:szCs w:val="18"/>
              </w:rPr>
              <w:b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1D0E9F"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Minority quartile</w:t>
            </w:r>
            <w:r w:rsidRPr="006C519F">
              <w:rPr>
                <w:rFonts w:ascii="Calibri" w:eastAsia="Times New Roman" w:hAnsi="Calibri" w:cs="Calibri"/>
                <w:sz w:val="18"/>
                <w:szCs w:val="18"/>
              </w:rPr>
              <w:br/>
              <w:t>Total teachers</w:t>
            </w:r>
          </w:p>
        </w:tc>
        <w:tc>
          <w:tcPr>
            <w:tcW w:w="944" w:type="dxa"/>
            <w:tcBorders>
              <w:top w:val="single" w:sz="4" w:space="0" w:color="auto"/>
              <w:left w:val="nil"/>
              <w:bottom w:val="single" w:sz="4" w:space="0" w:color="auto"/>
              <w:right w:val="double" w:sz="4" w:space="0" w:color="auto"/>
            </w:tcBorders>
            <w:shd w:val="clear" w:color="auto" w:fill="auto"/>
            <w:textDirection w:val="btLr"/>
            <w:vAlign w:val="center"/>
            <w:hideMark/>
          </w:tcPr>
          <w:p w14:paraId="42C6C8B2"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Minority quartile</w:t>
            </w:r>
            <w:r w:rsidRPr="006C519F">
              <w:rPr>
                <w:rFonts w:ascii="Calibri" w:eastAsia="Times New Roman" w:hAnsi="Calibri" w:cs="Calibri"/>
                <w:sz w:val="18"/>
                <w:szCs w:val="18"/>
              </w:rPr>
              <w:br/>
              <w:t>% out-of-field</w:t>
            </w:r>
          </w:p>
        </w:tc>
        <w:tc>
          <w:tcPr>
            <w:tcW w:w="943"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F0E33D2"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E6F35A"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Total teachers</w:t>
            </w:r>
          </w:p>
        </w:tc>
        <w:tc>
          <w:tcPr>
            <w:tcW w:w="944" w:type="dxa"/>
            <w:tcBorders>
              <w:top w:val="single" w:sz="4" w:space="0" w:color="auto"/>
              <w:left w:val="nil"/>
              <w:bottom w:val="single" w:sz="4" w:space="0" w:color="auto"/>
              <w:right w:val="double" w:sz="4" w:space="0" w:color="auto"/>
            </w:tcBorders>
            <w:shd w:val="clear" w:color="auto" w:fill="auto"/>
            <w:textDirection w:val="btLr"/>
            <w:vAlign w:val="center"/>
            <w:hideMark/>
          </w:tcPr>
          <w:p w14:paraId="3D12AB66"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out-of-field</w:t>
            </w:r>
          </w:p>
        </w:tc>
        <w:tc>
          <w:tcPr>
            <w:tcW w:w="943"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10462A85"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All schools </w:t>
            </w:r>
            <w:r w:rsidRPr="006C519F">
              <w:rPr>
                <w:rFonts w:ascii="Calibri" w:eastAsia="Times New Roman" w:hAnsi="Calibri" w:cs="Calibri"/>
                <w:sz w:val="18"/>
                <w:szCs w:val="18"/>
              </w:rPr>
              <w:b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D9E836"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 All schools</w:t>
            </w:r>
            <w:r w:rsidRPr="006C519F">
              <w:rPr>
                <w:rFonts w:ascii="Calibri" w:eastAsia="Times New Roman" w:hAnsi="Calibri" w:cs="Calibri"/>
                <w:sz w:val="18"/>
                <w:szCs w:val="18"/>
              </w:rPr>
              <w:br/>
              <w:t>Total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AE4CCA"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All schools </w:t>
            </w:r>
            <w:r w:rsidRPr="006C519F">
              <w:rPr>
                <w:rFonts w:ascii="Calibri" w:eastAsia="Times New Roman" w:hAnsi="Calibri" w:cs="Calibri"/>
                <w:sz w:val="18"/>
                <w:szCs w:val="18"/>
              </w:rPr>
              <w:br/>
              <w:t>% out-of-field</w:t>
            </w:r>
          </w:p>
        </w:tc>
      </w:tr>
      <w:tr w:rsidR="006C519F" w:rsidRPr="006C519F" w14:paraId="30AE831E" w14:textId="77777777" w:rsidTr="00ED6A6E">
        <w:trPr>
          <w:trHeight w:val="352"/>
          <w:jc w:val="center"/>
        </w:trPr>
        <w:tc>
          <w:tcPr>
            <w:tcW w:w="1292" w:type="dxa"/>
            <w:tcBorders>
              <w:top w:val="nil"/>
              <w:left w:val="single" w:sz="4" w:space="0" w:color="auto"/>
              <w:bottom w:val="single" w:sz="4" w:space="0" w:color="auto"/>
              <w:right w:val="nil"/>
            </w:tcBorders>
            <w:shd w:val="clear" w:color="000000" w:fill="F2F2F2"/>
            <w:vAlign w:val="center"/>
            <w:hideMark/>
          </w:tcPr>
          <w:p w14:paraId="414FA26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Title I</w:t>
            </w:r>
          </w:p>
        </w:tc>
        <w:tc>
          <w:tcPr>
            <w:tcW w:w="943" w:type="dxa"/>
            <w:tcBorders>
              <w:top w:val="nil"/>
              <w:left w:val="single" w:sz="8" w:space="0" w:color="auto"/>
              <w:bottom w:val="single" w:sz="4" w:space="0" w:color="auto"/>
              <w:right w:val="single" w:sz="4" w:space="0" w:color="auto"/>
            </w:tcBorders>
            <w:shd w:val="clear" w:color="000000" w:fill="F2F2F2"/>
            <w:vAlign w:val="center"/>
            <w:hideMark/>
          </w:tcPr>
          <w:p w14:paraId="2716011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226.97</w:t>
            </w:r>
          </w:p>
        </w:tc>
        <w:tc>
          <w:tcPr>
            <w:tcW w:w="944" w:type="dxa"/>
            <w:tcBorders>
              <w:top w:val="nil"/>
              <w:left w:val="nil"/>
              <w:bottom w:val="single" w:sz="4" w:space="0" w:color="auto"/>
              <w:right w:val="single" w:sz="4" w:space="0" w:color="auto"/>
            </w:tcBorders>
            <w:shd w:val="clear" w:color="000000" w:fill="F2F2F2"/>
            <w:vAlign w:val="center"/>
            <w:hideMark/>
          </w:tcPr>
          <w:p w14:paraId="1234A7A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884.51</w:t>
            </w:r>
          </w:p>
        </w:tc>
        <w:tc>
          <w:tcPr>
            <w:tcW w:w="944" w:type="dxa"/>
            <w:tcBorders>
              <w:top w:val="nil"/>
              <w:left w:val="nil"/>
              <w:bottom w:val="single" w:sz="4" w:space="0" w:color="auto"/>
              <w:right w:val="double" w:sz="4" w:space="0" w:color="auto"/>
            </w:tcBorders>
            <w:shd w:val="clear" w:color="000000" w:fill="F2F2F2"/>
            <w:vAlign w:val="center"/>
            <w:hideMark/>
          </w:tcPr>
          <w:p w14:paraId="090F578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25.7%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2C9E9F6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92.12</w:t>
            </w:r>
          </w:p>
        </w:tc>
        <w:tc>
          <w:tcPr>
            <w:tcW w:w="944" w:type="dxa"/>
            <w:tcBorders>
              <w:top w:val="nil"/>
              <w:left w:val="nil"/>
              <w:bottom w:val="single" w:sz="4" w:space="0" w:color="auto"/>
              <w:right w:val="single" w:sz="4" w:space="0" w:color="auto"/>
            </w:tcBorders>
            <w:shd w:val="clear" w:color="000000" w:fill="F2F2F2"/>
            <w:vAlign w:val="center"/>
            <w:hideMark/>
          </w:tcPr>
          <w:p w14:paraId="5C57055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552.26</w:t>
            </w:r>
          </w:p>
        </w:tc>
        <w:tc>
          <w:tcPr>
            <w:tcW w:w="944" w:type="dxa"/>
            <w:tcBorders>
              <w:top w:val="nil"/>
              <w:left w:val="nil"/>
              <w:bottom w:val="single" w:sz="4" w:space="0" w:color="auto"/>
              <w:right w:val="double" w:sz="4" w:space="0" w:color="auto"/>
            </w:tcBorders>
            <w:shd w:val="clear" w:color="000000" w:fill="F2F2F2"/>
            <w:vAlign w:val="center"/>
            <w:hideMark/>
          </w:tcPr>
          <w:p w14:paraId="1173E3C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16.7%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25F5D34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731.39</w:t>
            </w:r>
          </w:p>
        </w:tc>
        <w:tc>
          <w:tcPr>
            <w:tcW w:w="944" w:type="dxa"/>
            <w:tcBorders>
              <w:top w:val="nil"/>
              <w:left w:val="nil"/>
              <w:bottom w:val="single" w:sz="4" w:space="0" w:color="auto"/>
              <w:right w:val="single" w:sz="4" w:space="0" w:color="auto"/>
            </w:tcBorders>
            <w:shd w:val="clear" w:color="000000" w:fill="F2F2F2"/>
            <w:vAlign w:val="center"/>
            <w:hideMark/>
          </w:tcPr>
          <w:p w14:paraId="62B66AE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3587.21</w:t>
            </w:r>
          </w:p>
        </w:tc>
        <w:tc>
          <w:tcPr>
            <w:tcW w:w="944" w:type="dxa"/>
            <w:tcBorders>
              <w:top w:val="nil"/>
              <w:left w:val="nil"/>
              <w:bottom w:val="single" w:sz="4" w:space="0" w:color="auto"/>
              <w:right w:val="single" w:sz="4" w:space="0" w:color="auto"/>
            </w:tcBorders>
            <w:shd w:val="clear" w:color="000000" w:fill="F2F2F2"/>
            <w:vAlign w:val="center"/>
            <w:hideMark/>
          </w:tcPr>
          <w:p w14:paraId="0B2F4D2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20.4%</w:t>
            </w:r>
          </w:p>
        </w:tc>
      </w:tr>
      <w:tr w:rsidR="006C519F" w:rsidRPr="006C519F" w14:paraId="4ADD261E" w14:textId="77777777" w:rsidTr="00ED6A6E">
        <w:trPr>
          <w:trHeight w:val="352"/>
          <w:jc w:val="center"/>
        </w:trPr>
        <w:tc>
          <w:tcPr>
            <w:tcW w:w="1292" w:type="dxa"/>
            <w:tcBorders>
              <w:top w:val="nil"/>
              <w:left w:val="single" w:sz="4" w:space="0" w:color="auto"/>
              <w:bottom w:val="single" w:sz="4" w:space="0" w:color="auto"/>
              <w:right w:val="nil"/>
            </w:tcBorders>
            <w:shd w:val="clear" w:color="auto" w:fill="auto"/>
            <w:vAlign w:val="center"/>
            <w:hideMark/>
          </w:tcPr>
          <w:p w14:paraId="31E8DC1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Non-Title I</w:t>
            </w:r>
          </w:p>
        </w:tc>
        <w:tc>
          <w:tcPr>
            <w:tcW w:w="943" w:type="dxa"/>
            <w:tcBorders>
              <w:top w:val="nil"/>
              <w:left w:val="single" w:sz="8" w:space="0" w:color="auto"/>
              <w:bottom w:val="single" w:sz="4" w:space="0" w:color="auto"/>
              <w:right w:val="single" w:sz="4" w:space="0" w:color="auto"/>
            </w:tcBorders>
            <w:shd w:val="clear" w:color="auto" w:fill="auto"/>
            <w:vAlign w:val="center"/>
            <w:hideMark/>
          </w:tcPr>
          <w:p w14:paraId="4D50D93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17.17</w:t>
            </w:r>
          </w:p>
        </w:tc>
        <w:tc>
          <w:tcPr>
            <w:tcW w:w="944" w:type="dxa"/>
            <w:tcBorders>
              <w:top w:val="nil"/>
              <w:left w:val="nil"/>
              <w:bottom w:val="single" w:sz="4" w:space="0" w:color="auto"/>
              <w:right w:val="single" w:sz="4" w:space="0" w:color="auto"/>
            </w:tcBorders>
            <w:shd w:val="clear" w:color="auto" w:fill="auto"/>
            <w:vAlign w:val="center"/>
            <w:hideMark/>
          </w:tcPr>
          <w:p w14:paraId="31A9F1E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112.50</w:t>
            </w:r>
          </w:p>
        </w:tc>
        <w:tc>
          <w:tcPr>
            <w:tcW w:w="944" w:type="dxa"/>
            <w:tcBorders>
              <w:top w:val="nil"/>
              <w:left w:val="nil"/>
              <w:bottom w:val="single" w:sz="4" w:space="0" w:color="auto"/>
              <w:right w:val="double" w:sz="4" w:space="0" w:color="auto"/>
            </w:tcBorders>
            <w:shd w:val="clear" w:color="auto" w:fill="auto"/>
            <w:vAlign w:val="center"/>
            <w:hideMark/>
          </w:tcPr>
          <w:p w14:paraId="5FB27D2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15.3%</w:t>
            </w:r>
          </w:p>
        </w:tc>
        <w:tc>
          <w:tcPr>
            <w:tcW w:w="943" w:type="dxa"/>
            <w:tcBorders>
              <w:top w:val="nil"/>
              <w:left w:val="double" w:sz="4" w:space="0" w:color="auto"/>
              <w:bottom w:val="single" w:sz="4" w:space="0" w:color="auto"/>
              <w:right w:val="single" w:sz="4" w:space="0" w:color="auto"/>
            </w:tcBorders>
            <w:shd w:val="clear" w:color="auto" w:fill="auto"/>
            <w:vAlign w:val="center"/>
            <w:hideMark/>
          </w:tcPr>
          <w:p w14:paraId="5D78A85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320.80</w:t>
            </w:r>
          </w:p>
        </w:tc>
        <w:tc>
          <w:tcPr>
            <w:tcW w:w="944" w:type="dxa"/>
            <w:tcBorders>
              <w:top w:val="nil"/>
              <w:left w:val="nil"/>
              <w:bottom w:val="single" w:sz="4" w:space="0" w:color="auto"/>
              <w:right w:val="single" w:sz="4" w:space="0" w:color="auto"/>
            </w:tcBorders>
            <w:shd w:val="clear" w:color="auto" w:fill="auto"/>
            <w:vAlign w:val="center"/>
            <w:hideMark/>
          </w:tcPr>
          <w:p w14:paraId="78DE397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1352.29</w:t>
            </w:r>
          </w:p>
        </w:tc>
        <w:tc>
          <w:tcPr>
            <w:tcW w:w="944" w:type="dxa"/>
            <w:tcBorders>
              <w:top w:val="nil"/>
              <w:left w:val="nil"/>
              <w:bottom w:val="single" w:sz="4" w:space="0" w:color="auto"/>
              <w:right w:val="double" w:sz="4" w:space="0" w:color="auto"/>
            </w:tcBorders>
            <w:shd w:val="clear" w:color="auto" w:fill="auto"/>
            <w:vAlign w:val="center"/>
            <w:hideMark/>
          </w:tcPr>
          <w:p w14:paraId="0050593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23.7%</w:t>
            </w:r>
          </w:p>
        </w:tc>
        <w:tc>
          <w:tcPr>
            <w:tcW w:w="943" w:type="dxa"/>
            <w:tcBorders>
              <w:top w:val="nil"/>
              <w:left w:val="double" w:sz="4" w:space="0" w:color="auto"/>
              <w:bottom w:val="single" w:sz="4" w:space="0" w:color="auto"/>
              <w:right w:val="single" w:sz="4" w:space="0" w:color="auto"/>
            </w:tcBorders>
            <w:shd w:val="clear" w:color="auto" w:fill="auto"/>
            <w:vAlign w:val="center"/>
            <w:hideMark/>
          </w:tcPr>
          <w:p w14:paraId="257C312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995.36</w:t>
            </w:r>
          </w:p>
        </w:tc>
        <w:tc>
          <w:tcPr>
            <w:tcW w:w="944" w:type="dxa"/>
            <w:tcBorders>
              <w:top w:val="nil"/>
              <w:left w:val="nil"/>
              <w:bottom w:val="single" w:sz="4" w:space="0" w:color="auto"/>
              <w:right w:val="single" w:sz="4" w:space="0" w:color="auto"/>
            </w:tcBorders>
            <w:shd w:val="clear" w:color="auto" w:fill="auto"/>
            <w:vAlign w:val="center"/>
            <w:hideMark/>
          </w:tcPr>
          <w:p w14:paraId="2875B32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4063.62</w:t>
            </w:r>
          </w:p>
        </w:tc>
        <w:tc>
          <w:tcPr>
            <w:tcW w:w="944" w:type="dxa"/>
            <w:tcBorders>
              <w:top w:val="nil"/>
              <w:left w:val="nil"/>
              <w:bottom w:val="single" w:sz="4" w:space="0" w:color="auto"/>
              <w:right w:val="single" w:sz="4" w:space="0" w:color="auto"/>
            </w:tcBorders>
            <w:shd w:val="clear" w:color="auto" w:fill="auto"/>
            <w:vAlign w:val="center"/>
            <w:hideMark/>
          </w:tcPr>
          <w:p w14:paraId="4665CFA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24.5%</w:t>
            </w:r>
          </w:p>
        </w:tc>
      </w:tr>
      <w:tr w:rsidR="006C519F" w:rsidRPr="006C519F" w14:paraId="0D0543EE" w14:textId="77777777" w:rsidTr="00ED6A6E">
        <w:trPr>
          <w:trHeight w:val="370"/>
          <w:jc w:val="center"/>
        </w:trPr>
        <w:tc>
          <w:tcPr>
            <w:tcW w:w="1292" w:type="dxa"/>
            <w:tcBorders>
              <w:top w:val="nil"/>
              <w:left w:val="single" w:sz="4" w:space="0" w:color="auto"/>
              <w:bottom w:val="single" w:sz="4" w:space="0" w:color="auto"/>
              <w:right w:val="nil"/>
            </w:tcBorders>
            <w:shd w:val="clear" w:color="000000" w:fill="F2F2F2"/>
            <w:vAlign w:val="center"/>
            <w:hideMark/>
          </w:tcPr>
          <w:p w14:paraId="210C39E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All schools</w:t>
            </w:r>
          </w:p>
        </w:tc>
        <w:tc>
          <w:tcPr>
            <w:tcW w:w="943" w:type="dxa"/>
            <w:tcBorders>
              <w:top w:val="nil"/>
              <w:left w:val="single" w:sz="8" w:space="0" w:color="auto"/>
              <w:bottom w:val="single" w:sz="8" w:space="0" w:color="auto"/>
              <w:right w:val="single" w:sz="4" w:space="0" w:color="auto"/>
            </w:tcBorders>
            <w:shd w:val="clear" w:color="000000" w:fill="F2F2F2"/>
            <w:vAlign w:val="center"/>
            <w:hideMark/>
          </w:tcPr>
          <w:p w14:paraId="6D16D13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244.14</w:t>
            </w:r>
          </w:p>
        </w:tc>
        <w:tc>
          <w:tcPr>
            <w:tcW w:w="944" w:type="dxa"/>
            <w:tcBorders>
              <w:top w:val="nil"/>
              <w:left w:val="nil"/>
              <w:bottom w:val="single" w:sz="8" w:space="0" w:color="auto"/>
              <w:right w:val="single" w:sz="4" w:space="0" w:color="auto"/>
            </w:tcBorders>
            <w:shd w:val="clear" w:color="000000" w:fill="F2F2F2"/>
            <w:vAlign w:val="center"/>
            <w:hideMark/>
          </w:tcPr>
          <w:p w14:paraId="1F65644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997.01</w:t>
            </w:r>
          </w:p>
        </w:tc>
        <w:tc>
          <w:tcPr>
            <w:tcW w:w="944" w:type="dxa"/>
            <w:tcBorders>
              <w:top w:val="nil"/>
              <w:left w:val="nil"/>
              <w:bottom w:val="single" w:sz="8" w:space="0" w:color="auto"/>
              <w:right w:val="double" w:sz="4" w:space="0" w:color="auto"/>
            </w:tcBorders>
            <w:shd w:val="clear" w:color="000000" w:fill="F2F2F2"/>
            <w:vAlign w:val="center"/>
            <w:hideMark/>
          </w:tcPr>
          <w:p w14:paraId="0FC4D94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24.5%</w:t>
            </w:r>
          </w:p>
        </w:tc>
        <w:tc>
          <w:tcPr>
            <w:tcW w:w="943" w:type="dxa"/>
            <w:tcBorders>
              <w:top w:val="nil"/>
              <w:left w:val="double" w:sz="4" w:space="0" w:color="auto"/>
              <w:bottom w:val="single" w:sz="8" w:space="0" w:color="auto"/>
              <w:right w:val="single" w:sz="4" w:space="0" w:color="auto"/>
            </w:tcBorders>
            <w:shd w:val="clear" w:color="000000" w:fill="F2F2F2"/>
            <w:vAlign w:val="center"/>
            <w:hideMark/>
          </w:tcPr>
          <w:p w14:paraId="0DD0385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412.92</w:t>
            </w:r>
          </w:p>
        </w:tc>
        <w:tc>
          <w:tcPr>
            <w:tcW w:w="944" w:type="dxa"/>
            <w:tcBorders>
              <w:top w:val="nil"/>
              <w:left w:val="nil"/>
              <w:bottom w:val="single" w:sz="8" w:space="0" w:color="auto"/>
              <w:right w:val="single" w:sz="4" w:space="0" w:color="auto"/>
            </w:tcBorders>
            <w:shd w:val="clear" w:color="000000" w:fill="F2F2F2"/>
            <w:vAlign w:val="center"/>
            <w:hideMark/>
          </w:tcPr>
          <w:p w14:paraId="080DEFE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1904.55</w:t>
            </w:r>
          </w:p>
        </w:tc>
        <w:tc>
          <w:tcPr>
            <w:tcW w:w="944" w:type="dxa"/>
            <w:tcBorders>
              <w:top w:val="nil"/>
              <w:left w:val="nil"/>
              <w:bottom w:val="single" w:sz="8" w:space="0" w:color="auto"/>
              <w:right w:val="double" w:sz="4" w:space="0" w:color="auto"/>
            </w:tcBorders>
            <w:shd w:val="clear" w:color="000000" w:fill="F2F2F2"/>
            <w:vAlign w:val="center"/>
            <w:hideMark/>
          </w:tcPr>
          <w:p w14:paraId="19B9D87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09B1719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1726.75</w:t>
            </w:r>
          </w:p>
        </w:tc>
        <w:tc>
          <w:tcPr>
            <w:tcW w:w="944" w:type="dxa"/>
            <w:tcBorders>
              <w:top w:val="nil"/>
              <w:left w:val="nil"/>
              <w:bottom w:val="single" w:sz="4" w:space="0" w:color="auto"/>
              <w:right w:val="single" w:sz="4" w:space="0" w:color="auto"/>
            </w:tcBorders>
            <w:shd w:val="clear" w:color="000000" w:fill="F2F2F2"/>
            <w:vAlign w:val="center"/>
            <w:hideMark/>
          </w:tcPr>
          <w:p w14:paraId="775FA86F"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7650.83</w:t>
            </w:r>
          </w:p>
        </w:tc>
        <w:tc>
          <w:tcPr>
            <w:tcW w:w="944" w:type="dxa"/>
            <w:tcBorders>
              <w:top w:val="nil"/>
              <w:left w:val="nil"/>
              <w:bottom w:val="single" w:sz="4" w:space="0" w:color="auto"/>
              <w:right w:val="single" w:sz="4" w:space="0" w:color="auto"/>
            </w:tcBorders>
            <w:shd w:val="clear" w:color="000000" w:fill="F2F2F2"/>
            <w:vAlign w:val="center"/>
            <w:hideMark/>
          </w:tcPr>
          <w:p w14:paraId="2BCDB0D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22.6%</w:t>
            </w:r>
          </w:p>
        </w:tc>
      </w:tr>
    </w:tbl>
    <w:p w14:paraId="4130A80E" w14:textId="77777777" w:rsidR="007E5090" w:rsidRDefault="007E5090" w:rsidP="00987664">
      <w:pPr>
        <w:ind w:left="1126" w:right="1128"/>
        <w:jc w:val="center"/>
        <w:rPr>
          <w:rFonts w:ascii="Calibri"/>
          <w:b/>
          <w:spacing w:val="-1"/>
        </w:rPr>
      </w:pPr>
    </w:p>
    <w:p w14:paraId="02ABF580" w14:textId="77777777" w:rsidR="007E5090" w:rsidRDefault="007E5090" w:rsidP="00987664">
      <w:pPr>
        <w:ind w:left="1126" w:right="1128"/>
        <w:jc w:val="center"/>
        <w:rPr>
          <w:rFonts w:ascii="Calibri"/>
          <w:b/>
          <w:spacing w:val="-1"/>
        </w:rPr>
      </w:pPr>
      <w:r>
        <w:rPr>
          <w:rFonts w:ascii="Calibri"/>
          <w:b/>
          <w:spacing w:val="-1"/>
        </w:rPr>
        <w:t>Ineffective Teachers</w:t>
      </w:r>
    </w:p>
    <w:p w14:paraId="06260420" w14:textId="77777777" w:rsidR="007E5090" w:rsidRDefault="007E5090" w:rsidP="00E664BC">
      <w:r>
        <w:t>As the definition for ineffective teachers is a new requirement under ESSA, Alaska does not have school-level data to report for the 2016-2017 school year. Alaska has collected</w:t>
      </w:r>
      <w:r>
        <w:rPr>
          <w:spacing w:val="-2"/>
        </w:rPr>
        <w:t xml:space="preserve"> </w:t>
      </w:r>
      <w:r>
        <w:t>only</w:t>
      </w:r>
      <w:r>
        <w:rPr>
          <w:spacing w:val="1"/>
        </w:rPr>
        <w:t xml:space="preserve"> </w:t>
      </w:r>
      <w:r>
        <w:t>district-level data</w:t>
      </w:r>
      <w:r>
        <w:rPr>
          <w:spacing w:val="-2"/>
        </w:rPr>
        <w:t xml:space="preserve"> </w:t>
      </w:r>
      <w:r>
        <w:t>on</w:t>
      </w:r>
      <w:r>
        <w:rPr>
          <w:spacing w:val="-3"/>
        </w:rPr>
        <w:t xml:space="preserve"> </w:t>
      </w:r>
      <w:r>
        <w:t>the</w:t>
      </w:r>
      <w:r>
        <w:rPr>
          <w:spacing w:val="-2"/>
        </w:rPr>
        <w:t xml:space="preserve"> </w:t>
      </w:r>
      <w:r>
        <w:t>level</w:t>
      </w:r>
      <w:r>
        <w:rPr>
          <w:spacing w:val="-3"/>
        </w:rPr>
        <w:t xml:space="preserve"> </w:t>
      </w:r>
      <w:r>
        <w:t>of</w:t>
      </w:r>
      <w:r>
        <w:rPr>
          <w:spacing w:val="-3"/>
        </w:rPr>
        <w:t xml:space="preserve"> </w:t>
      </w:r>
      <w:r>
        <w:t>supports</w:t>
      </w:r>
      <w:r>
        <w:rPr>
          <w:spacing w:val="-2"/>
        </w:rPr>
        <w:t xml:space="preserve"> </w:t>
      </w:r>
      <w:r>
        <w:t>for</w:t>
      </w:r>
      <w:r>
        <w:rPr>
          <w:spacing w:val="-2"/>
        </w:rPr>
        <w:t xml:space="preserve"> </w:t>
      </w:r>
      <w:r>
        <w:t>tenured and non-tenured</w:t>
      </w:r>
      <w:r>
        <w:rPr>
          <w:spacing w:val="57"/>
        </w:rPr>
        <w:t xml:space="preserve"> </w:t>
      </w:r>
      <w:r>
        <w:t>teachers, special</w:t>
      </w:r>
      <w:r>
        <w:rPr>
          <w:spacing w:val="-2"/>
        </w:rPr>
        <w:t xml:space="preserve"> </w:t>
      </w:r>
      <w:r>
        <w:t>service</w:t>
      </w:r>
      <w:r>
        <w:rPr>
          <w:spacing w:val="-2"/>
        </w:rPr>
        <w:t xml:space="preserve"> </w:t>
      </w:r>
      <w:r>
        <w:t>providers, and administrators. Ineffective teachers are determined from the level of support (e.g. plan of improvement) data as shown in the definition at the beginning of Section 5. DEED</w:t>
      </w:r>
      <w:r>
        <w:rPr>
          <w:spacing w:val="1"/>
        </w:rPr>
        <w:t xml:space="preserve"> </w:t>
      </w:r>
      <w:r>
        <w:t>will</w:t>
      </w:r>
      <w:r>
        <w:rPr>
          <w:spacing w:val="-3"/>
        </w:rPr>
        <w:t xml:space="preserve"> </w:t>
      </w:r>
      <w:r>
        <w:t>only</w:t>
      </w:r>
      <w:r>
        <w:rPr>
          <w:spacing w:val="1"/>
        </w:rPr>
        <w:t xml:space="preserve"> </w:t>
      </w:r>
      <w:r>
        <w:t>request</w:t>
      </w:r>
      <w:r>
        <w:rPr>
          <w:spacing w:val="1"/>
        </w:rPr>
        <w:t xml:space="preserve"> </w:t>
      </w:r>
      <w:r>
        <w:t>data from</w:t>
      </w:r>
      <w:r>
        <w:rPr>
          <w:spacing w:val="1"/>
        </w:rPr>
        <w:t xml:space="preserve"> </w:t>
      </w:r>
      <w:r>
        <w:t>Alaska’s</w:t>
      </w:r>
      <w:r>
        <w:rPr>
          <w:spacing w:val="1"/>
        </w:rPr>
        <w:t xml:space="preserve"> </w:t>
      </w:r>
      <w:r>
        <w:t>districts</w:t>
      </w:r>
      <w:r>
        <w:rPr>
          <w:spacing w:val="-2"/>
        </w:rPr>
        <w:t xml:space="preserve"> </w:t>
      </w:r>
      <w:r>
        <w:t>that</w:t>
      </w:r>
      <w:r>
        <w:rPr>
          <w:spacing w:val="1"/>
        </w:rPr>
        <w:t xml:space="preserve"> </w:t>
      </w:r>
      <w:r>
        <w:t>are</w:t>
      </w:r>
      <w:r>
        <w:rPr>
          <w:spacing w:val="1"/>
        </w:rPr>
        <w:t xml:space="preserve"> </w:t>
      </w:r>
      <w:r>
        <w:t xml:space="preserve">aggregated </w:t>
      </w:r>
      <w:r>
        <w:rPr>
          <w:spacing w:val="-2"/>
        </w:rPr>
        <w:t>at</w:t>
      </w:r>
      <w:r>
        <w:rPr>
          <w:spacing w:val="1"/>
        </w:rPr>
        <w:t xml:space="preserve"> </w:t>
      </w:r>
      <w:r>
        <w:t>the</w:t>
      </w:r>
      <w:r>
        <w:rPr>
          <w:spacing w:val="-2"/>
        </w:rPr>
        <w:t xml:space="preserve"> </w:t>
      </w:r>
      <w:r>
        <w:t>school</w:t>
      </w:r>
      <w:r>
        <w:rPr>
          <w:spacing w:val="-3"/>
        </w:rPr>
        <w:t xml:space="preserve"> </w:t>
      </w:r>
      <w:r>
        <w:t>and district</w:t>
      </w:r>
      <w:r>
        <w:rPr>
          <w:spacing w:val="-2"/>
        </w:rPr>
        <w:t xml:space="preserve"> </w:t>
      </w:r>
      <w:r>
        <w:t>level</w:t>
      </w:r>
      <w:r>
        <w:rPr>
          <w:spacing w:val="55"/>
        </w:rPr>
        <w:t xml:space="preserve"> </w:t>
      </w:r>
      <w:r>
        <w:t>to ensure</w:t>
      </w:r>
      <w:r>
        <w:rPr>
          <w:spacing w:val="-2"/>
        </w:rPr>
        <w:t xml:space="preserve"> </w:t>
      </w:r>
      <w:r>
        <w:t>educator</w:t>
      </w:r>
      <w:r>
        <w:rPr>
          <w:spacing w:val="-2"/>
        </w:rPr>
        <w:t xml:space="preserve"> </w:t>
      </w:r>
      <w:r>
        <w:t>privacy.</w:t>
      </w:r>
      <w:r>
        <w:rPr>
          <w:spacing w:val="-3"/>
        </w:rPr>
        <w:t xml:space="preserve"> </w:t>
      </w:r>
      <w:r>
        <w:t>Educator</w:t>
      </w:r>
      <w:r>
        <w:rPr>
          <w:spacing w:val="-2"/>
        </w:rPr>
        <w:t xml:space="preserve"> </w:t>
      </w:r>
      <w:r>
        <w:t>evaluations are</w:t>
      </w:r>
      <w:r>
        <w:rPr>
          <w:spacing w:val="-2"/>
        </w:rPr>
        <w:t xml:space="preserve"> </w:t>
      </w:r>
      <w:r>
        <w:t>not</w:t>
      </w:r>
      <w:r>
        <w:rPr>
          <w:spacing w:val="1"/>
        </w:rPr>
        <w:t xml:space="preserve"> </w:t>
      </w:r>
      <w:r>
        <w:t>public records, are</w:t>
      </w:r>
      <w:r>
        <w:rPr>
          <w:spacing w:val="-2"/>
        </w:rPr>
        <w:t xml:space="preserve"> </w:t>
      </w:r>
      <w:r>
        <w:t>not</w:t>
      </w:r>
      <w:r>
        <w:rPr>
          <w:spacing w:val="-2"/>
        </w:rPr>
        <w:t xml:space="preserve"> </w:t>
      </w:r>
      <w:r>
        <w:t>subject</w:t>
      </w:r>
      <w:r>
        <w:rPr>
          <w:spacing w:val="1"/>
        </w:rPr>
        <w:t xml:space="preserve"> </w:t>
      </w:r>
      <w:r>
        <w:t>to</w:t>
      </w:r>
      <w:r>
        <w:rPr>
          <w:spacing w:val="1"/>
        </w:rPr>
        <w:t xml:space="preserve"> </w:t>
      </w:r>
      <w:r>
        <w:t>disclosure,</w:t>
      </w:r>
      <w:r>
        <w:rPr>
          <w:spacing w:val="61"/>
        </w:rPr>
        <w:t xml:space="preserve"> </w:t>
      </w:r>
      <w:r>
        <w:t>and will not</w:t>
      </w:r>
      <w:r>
        <w:rPr>
          <w:spacing w:val="-2"/>
        </w:rPr>
        <w:t xml:space="preserve"> </w:t>
      </w:r>
      <w:r>
        <w:t>be</w:t>
      </w:r>
      <w:r>
        <w:rPr>
          <w:spacing w:val="1"/>
        </w:rPr>
        <w:t xml:space="preserve"> </w:t>
      </w:r>
      <w:r>
        <w:t>reported at</w:t>
      </w:r>
      <w:r>
        <w:rPr>
          <w:spacing w:val="-4"/>
        </w:rPr>
        <w:t xml:space="preserve"> </w:t>
      </w:r>
      <w:r>
        <w:t>the</w:t>
      </w:r>
      <w:r>
        <w:rPr>
          <w:spacing w:val="1"/>
        </w:rPr>
        <w:t xml:space="preserve"> </w:t>
      </w:r>
      <w:r>
        <w:t>educator level. The</w:t>
      </w:r>
      <w:r>
        <w:rPr>
          <w:spacing w:val="-2"/>
        </w:rPr>
        <w:t xml:space="preserve"> </w:t>
      </w:r>
      <w:r>
        <w:t>new</w:t>
      </w:r>
      <w:r>
        <w:rPr>
          <w:spacing w:val="1"/>
        </w:rPr>
        <w:t xml:space="preserve"> </w:t>
      </w:r>
      <w:r>
        <w:t>evaluation regulations reinforce</w:t>
      </w:r>
      <w:r>
        <w:rPr>
          <w:spacing w:val="-2"/>
        </w:rPr>
        <w:t xml:space="preserve"> </w:t>
      </w:r>
      <w:r>
        <w:t>this by</w:t>
      </w:r>
      <w:r>
        <w:rPr>
          <w:spacing w:val="55"/>
        </w:rPr>
        <w:t xml:space="preserve"> </w:t>
      </w:r>
      <w:r>
        <w:t>requiring districts to adopt</w:t>
      </w:r>
      <w:r>
        <w:rPr>
          <w:spacing w:val="-2"/>
        </w:rPr>
        <w:t xml:space="preserve"> </w:t>
      </w:r>
      <w:r>
        <w:t>procedures</w:t>
      </w:r>
      <w:r>
        <w:rPr>
          <w:spacing w:val="-2"/>
        </w:rPr>
        <w:t xml:space="preserve"> </w:t>
      </w:r>
      <w:r>
        <w:t>to</w:t>
      </w:r>
      <w:r>
        <w:rPr>
          <w:spacing w:val="1"/>
        </w:rPr>
        <w:t xml:space="preserve"> </w:t>
      </w:r>
      <w:r>
        <w:t>protect</w:t>
      </w:r>
      <w:r>
        <w:rPr>
          <w:spacing w:val="1"/>
        </w:rPr>
        <w:t xml:space="preserve"> </w:t>
      </w:r>
      <w:r>
        <w:t>the</w:t>
      </w:r>
      <w:r>
        <w:rPr>
          <w:spacing w:val="-2"/>
        </w:rPr>
        <w:t xml:space="preserve"> </w:t>
      </w:r>
      <w:r>
        <w:t>confidentiality of evaluations.</w:t>
      </w:r>
      <w:r>
        <w:rPr>
          <w:spacing w:val="49"/>
        </w:rPr>
        <w:t xml:space="preserve"> </w:t>
      </w:r>
      <w:r>
        <w:t xml:space="preserve">DEED will </w:t>
      </w:r>
      <w:r>
        <w:rPr>
          <w:spacing w:val="-2"/>
        </w:rPr>
        <w:t>pay</w:t>
      </w:r>
      <w:r>
        <w:rPr>
          <w:spacing w:val="55"/>
        </w:rPr>
        <w:t xml:space="preserve"> </w:t>
      </w:r>
      <w:r>
        <w:t>special attention to</w:t>
      </w:r>
      <w:r>
        <w:rPr>
          <w:spacing w:val="1"/>
        </w:rPr>
        <w:t xml:space="preserve"> </w:t>
      </w:r>
      <w:r>
        <w:t>ensure</w:t>
      </w:r>
      <w:r>
        <w:rPr>
          <w:spacing w:val="-2"/>
        </w:rPr>
        <w:t xml:space="preserve"> </w:t>
      </w:r>
      <w:r>
        <w:t>that</w:t>
      </w:r>
      <w:r>
        <w:rPr>
          <w:spacing w:val="1"/>
        </w:rPr>
        <w:t xml:space="preserve"> </w:t>
      </w:r>
      <w:r>
        <w:t>individual educators</w:t>
      </w:r>
      <w:r>
        <w:rPr>
          <w:spacing w:val="-2"/>
        </w:rPr>
        <w:t xml:space="preserve"> </w:t>
      </w:r>
      <w:r>
        <w:t>cannot</w:t>
      </w:r>
      <w:r>
        <w:rPr>
          <w:spacing w:val="1"/>
        </w:rPr>
        <w:t xml:space="preserve"> </w:t>
      </w:r>
      <w:r>
        <w:t>be</w:t>
      </w:r>
      <w:r>
        <w:rPr>
          <w:spacing w:val="1"/>
        </w:rPr>
        <w:t xml:space="preserve"> </w:t>
      </w:r>
      <w:r>
        <w:t xml:space="preserve">identified in </w:t>
      </w:r>
      <w:r>
        <w:rPr>
          <w:spacing w:val="-2"/>
        </w:rPr>
        <w:t>any</w:t>
      </w:r>
      <w:r>
        <w:rPr>
          <w:spacing w:val="1"/>
        </w:rPr>
        <w:t xml:space="preserve"> </w:t>
      </w:r>
      <w:r>
        <w:t>reporting by using</w:t>
      </w:r>
      <w:r>
        <w:rPr>
          <w:spacing w:val="57"/>
        </w:rPr>
        <w:t xml:space="preserve"> </w:t>
      </w:r>
      <w:r>
        <w:t>data suppression rules similar to those</w:t>
      </w:r>
      <w:r>
        <w:rPr>
          <w:spacing w:val="1"/>
        </w:rPr>
        <w:t xml:space="preserve"> </w:t>
      </w:r>
      <w:r>
        <w:t>used for</w:t>
      </w:r>
      <w:r>
        <w:rPr>
          <w:spacing w:val="-2"/>
        </w:rPr>
        <w:t xml:space="preserve"> </w:t>
      </w:r>
      <w:r>
        <w:t>reporting student data.</w:t>
      </w:r>
    </w:p>
    <w:p w14:paraId="3B9BBA7C" w14:textId="04521673" w:rsidR="0016672C" w:rsidRDefault="0016672C" w:rsidP="0016672C">
      <w:pPr>
        <w:pStyle w:val="BodyText"/>
        <w:spacing w:after="0"/>
        <w:ind w:right="274"/>
        <w:rPr>
          <w:rFonts w:cs="Calibri"/>
          <w:szCs w:val="21"/>
        </w:rPr>
      </w:pPr>
      <w:r>
        <w:rPr>
          <w:rFonts w:cs="Calibri"/>
          <w:szCs w:val="21"/>
        </w:rPr>
        <w:t xml:space="preserve">DEED </w:t>
      </w:r>
      <w:r w:rsidR="006C519F">
        <w:rPr>
          <w:rFonts w:cs="Calibri"/>
          <w:szCs w:val="21"/>
        </w:rPr>
        <w:t>collected</w:t>
      </w:r>
      <w:r>
        <w:rPr>
          <w:rFonts w:cs="Calibri"/>
          <w:szCs w:val="21"/>
        </w:rPr>
        <w:t xml:space="preserve"> school-level data from all distric</w:t>
      </w:r>
      <w:r w:rsidR="006C519F">
        <w:rPr>
          <w:rFonts w:cs="Calibri"/>
          <w:szCs w:val="21"/>
        </w:rPr>
        <w:t xml:space="preserve">ts for the </w:t>
      </w:r>
      <w:r w:rsidRPr="00C95C2B">
        <w:rPr>
          <w:rFonts w:cs="Calibri"/>
          <w:szCs w:val="21"/>
        </w:rPr>
        <w:t>2017</w:t>
      </w:r>
      <w:r>
        <w:rPr>
          <w:rFonts w:cs="Calibri"/>
          <w:szCs w:val="21"/>
        </w:rPr>
        <w:t>-18 school year. Districts will be provided preliminary data review to provide any necessary corrections and/or update</w:t>
      </w:r>
      <w:r w:rsidR="006C519F">
        <w:rPr>
          <w:rFonts w:cs="Calibri"/>
          <w:szCs w:val="21"/>
        </w:rPr>
        <w:t xml:space="preserve">s. The final data for 2017-2018 is </w:t>
      </w:r>
      <w:r w:rsidRPr="00C95C2B">
        <w:rPr>
          <w:rFonts w:cs="Calibri"/>
          <w:szCs w:val="21"/>
        </w:rPr>
        <w:t>reported</w:t>
      </w:r>
      <w:r w:rsidR="006C519F">
        <w:rPr>
          <w:rFonts w:cs="Calibri"/>
          <w:szCs w:val="21"/>
        </w:rPr>
        <w:t xml:space="preserve"> in the charts below.</w:t>
      </w:r>
      <w:r>
        <w:rPr>
          <w:rFonts w:cs="Calibri"/>
          <w:szCs w:val="21"/>
        </w:rPr>
        <w:t xml:space="preserve"> </w:t>
      </w:r>
    </w:p>
    <w:p w14:paraId="604DF293" w14:textId="77777777" w:rsidR="0016672C" w:rsidRDefault="0016672C" w:rsidP="0016672C">
      <w:pPr>
        <w:pStyle w:val="BodyText"/>
        <w:spacing w:after="0"/>
        <w:ind w:right="274"/>
        <w:rPr>
          <w:rFonts w:cs="Calibri"/>
          <w:szCs w:val="21"/>
        </w:rPr>
      </w:pPr>
    </w:p>
    <w:p w14:paraId="295FCED7" w14:textId="77777777" w:rsidR="0016672C" w:rsidRPr="006C519F" w:rsidRDefault="0016672C" w:rsidP="0016672C">
      <w:pPr>
        <w:pStyle w:val="BodyText"/>
        <w:spacing w:after="0"/>
        <w:ind w:right="274"/>
      </w:pPr>
      <w:r w:rsidRPr="006C519F">
        <w:rPr>
          <w:spacing w:val="-1"/>
        </w:rPr>
        <w:t>Note: There are duplicated counts in this table for teachers who were assigned to more than one school. Teachers were not reported who were assigned to schools with no enrollment (includes shared-time status schools where students are enrolled in their school of attendance) or assigned to the district office rather than a school.  This data is compiled by the headcount of ineffective teachers.</w:t>
      </w:r>
    </w:p>
    <w:p w14:paraId="78328D43" w14:textId="77777777" w:rsidR="0016672C" w:rsidRDefault="0016672C" w:rsidP="00987664">
      <w:pPr>
        <w:ind w:left="1126" w:right="1128"/>
        <w:jc w:val="center"/>
        <w:rPr>
          <w:rFonts w:ascii="Calibri"/>
          <w:b/>
          <w:spacing w:val="-1"/>
        </w:rPr>
      </w:pPr>
      <w:r>
        <w:rPr>
          <w:rFonts w:ascii="Calibri"/>
          <w:b/>
          <w:spacing w:val="-1"/>
        </w:rPr>
        <w:br w:type="page"/>
      </w:r>
    </w:p>
    <w:p w14:paraId="2545C8E6" w14:textId="2659787C" w:rsidR="007E5090" w:rsidRDefault="007E5090" w:rsidP="00987664">
      <w:pPr>
        <w:ind w:left="1126" w:right="1128"/>
        <w:jc w:val="center"/>
        <w:rPr>
          <w:rFonts w:ascii="Calibri"/>
          <w:b/>
          <w:spacing w:val="-1"/>
        </w:rPr>
      </w:pPr>
      <w:r>
        <w:rPr>
          <w:rFonts w:ascii="Calibri"/>
          <w:b/>
          <w:spacing w:val="-1"/>
        </w:rPr>
        <w:lastRenderedPageBreak/>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Ineffective Teachers (2017-18)</w:t>
      </w:r>
    </w:p>
    <w:tbl>
      <w:tblPr>
        <w:tblW w:w="9558" w:type="dxa"/>
        <w:tblLook w:val="04A0" w:firstRow="1" w:lastRow="0" w:firstColumn="1" w:lastColumn="0" w:noHBand="0" w:noVBand="1"/>
      </w:tblPr>
      <w:tblGrid>
        <w:gridCol w:w="1196"/>
        <w:gridCol w:w="929"/>
        <w:gridCol w:w="929"/>
        <w:gridCol w:w="929"/>
        <w:gridCol w:w="929"/>
        <w:gridCol w:w="929"/>
        <w:gridCol w:w="929"/>
        <w:gridCol w:w="929"/>
        <w:gridCol w:w="929"/>
        <w:gridCol w:w="930"/>
      </w:tblGrid>
      <w:tr w:rsidR="006C519F" w:rsidRPr="006C519F" w14:paraId="6FF239AE" w14:textId="77777777" w:rsidTr="00ED6A6E">
        <w:trPr>
          <w:trHeight w:val="2281"/>
        </w:trPr>
        <w:tc>
          <w:tcPr>
            <w:tcW w:w="1196" w:type="dxa"/>
            <w:tcBorders>
              <w:top w:val="single" w:sz="4" w:space="0" w:color="auto"/>
              <w:left w:val="single" w:sz="4" w:space="0" w:color="auto"/>
              <w:bottom w:val="single" w:sz="4" w:space="0" w:color="auto"/>
              <w:right w:val="single" w:sz="4" w:space="0" w:color="auto"/>
            </w:tcBorders>
            <w:vAlign w:val="center"/>
            <w:hideMark/>
          </w:tcPr>
          <w:p w14:paraId="142DE78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School Type</w:t>
            </w:r>
          </w:p>
        </w:tc>
        <w:tc>
          <w:tcPr>
            <w:tcW w:w="929"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4016CEB3"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poverty quartile</w:t>
            </w:r>
            <w:r w:rsidRPr="006C519F">
              <w:rPr>
                <w:rFonts w:ascii="Calibri" w:eastAsia="Times New Roman" w:hAnsi="Calibri" w:cs="Calibri"/>
                <w:sz w:val="18"/>
                <w:szCs w:val="18"/>
              </w:rPr>
              <w:b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048185"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High poverty quartile </w:t>
            </w:r>
            <w:r w:rsidRPr="006C519F">
              <w:rPr>
                <w:rFonts w:ascii="Calibri" w:eastAsia="Times New Roman" w:hAnsi="Calibri" w:cs="Calibri"/>
                <w:sz w:val="18"/>
                <w:szCs w:val="18"/>
              </w:rPr>
              <w:br/>
              <w:t>Total teachers</w:t>
            </w:r>
          </w:p>
        </w:tc>
        <w:tc>
          <w:tcPr>
            <w:tcW w:w="929" w:type="dxa"/>
            <w:tcBorders>
              <w:top w:val="single" w:sz="4" w:space="0" w:color="auto"/>
              <w:left w:val="nil"/>
              <w:bottom w:val="single" w:sz="4" w:space="0" w:color="auto"/>
              <w:right w:val="double" w:sz="4" w:space="0" w:color="auto"/>
            </w:tcBorders>
            <w:shd w:val="clear" w:color="auto" w:fill="auto"/>
            <w:textDirection w:val="btLr"/>
            <w:vAlign w:val="center"/>
            <w:hideMark/>
          </w:tcPr>
          <w:p w14:paraId="35E992A6"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poverty quartile</w:t>
            </w:r>
            <w:r w:rsidRPr="006C519F">
              <w:rPr>
                <w:rFonts w:ascii="Calibri" w:eastAsia="Times New Roman" w:hAnsi="Calibri" w:cs="Calibri"/>
                <w:sz w:val="18"/>
                <w:szCs w:val="18"/>
              </w:rPr>
              <w:br/>
              <w:t xml:space="preserve"> % ineffective</w:t>
            </w:r>
          </w:p>
        </w:tc>
        <w:tc>
          <w:tcPr>
            <w:tcW w:w="929"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CABC125"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1D9649"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Total teachers</w:t>
            </w:r>
          </w:p>
        </w:tc>
        <w:tc>
          <w:tcPr>
            <w:tcW w:w="929" w:type="dxa"/>
            <w:tcBorders>
              <w:top w:val="single" w:sz="4" w:space="0" w:color="auto"/>
              <w:left w:val="nil"/>
              <w:bottom w:val="single" w:sz="4" w:space="0" w:color="auto"/>
              <w:right w:val="double" w:sz="4" w:space="0" w:color="auto"/>
            </w:tcBorders>
            <w:shd w:val="clear" w:color="auto" w:fill="auto"/>
            <w:textDirection w:val="btLr"/>
            <w:vAlign w:val="center"/>
            <w:hideMark/>
          </w:tcPr>
          <w:p w14:paraId="3E1B534C"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poverty quartile</w:t>
            </w:r>
            <w:r w:rsidRPr="006C519F">
              <w:rPr>
                <w:rFonts w:ascii="Calibri" w:eastAsia="Times New Roman" w:hAnsi="Calibri" w:cs="Calibri"/>
                <w:sz w:val="18"/>
                <w:szCs w:val="18"/>
              </w:rPr>
              <w:br/>
              <w:t>% ineffective</w:t>
            </w:r>
          </w:p>
        </w:tc>
        <w:tc>
          <w:tcPr>
            <w:tcW w:w="929"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9577036"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All schools</w:t>
            </w:r>
            <w:r w:rsidRPr="006C519F">
              <w:rPr>
                <w:rFonts w:ascii="Calibri" w:eastAsia="Times New Roman" w:hAnsi="Calibri" w:cs="Calibri"/>
                <w:sz w:val="18"/>
                <w:szCs w:val="18"/>
              </w:rPr>
              <w:b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78AD25"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All schools</w:t>
            </w:r>
            <w:r w:rsidRPr="006C519F">
              <w:rPr>
                <w:rFonts w:ascii="Calibri" w:eastAsia="Times New Roman" w:hAnsi="Calibri" w:cs="Calibri"/>
                <w:sz w:val="18"/>
                <w:szCs w:val="18"/>
              </w:rPr>
              <w:br/>
              <w:t>Total teachers</w:t>
            </w:r>
          </w:p>
        </w:tc>
        <w:tc>
          <w:tcPr>
            <w:tcW w:w="9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974301"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All schools</w:t>
            </w:r>
            <w:r w:rsidRPr="006C519F">
              <w:rPr>
                <w:rFonts w:ascii="Calibri" w:eastAsia="Times New Roman" w:hAnsi="Calibri" w:cs="Calibri"/>
                <w:sz w:val="18"/>
                <w:szCs w:val="18"/>
              </w:rPr>
              <w:br/>
              <w:t>% ineffective</w:t>
            </w:r>
          </w:p>
        </w:tc>
      </w:tr>
      <w:tr w:rsidR="006C519F" w:rsidRPr="006C519F" w14:paraId="7CF87278" w14:textId="77777777" w:rsidTr="00ED6A6E">
        <w:trPr>
          <w:trHeight w:val="501"/>
        </w:trPr>
        <w:tc>
          <w:tcPr>
            <w:tcW w:w="1196" w:type="dxa"/>
            <w:tcBorders>
              <w:top w:val="nil"/>
              <w:left w:val="single" w:sz="4" w:space="0" w:color="auto"/>
              <w:bottom w:val="single" w:sz="4" w:space="0" w:color="auto"/>
              <w:right w:val="nil"/>
            </w:tcBorders>
            <w:shd w:val="clear" w:color="000000" w:fill="F2F2F2"/>
            <w:vAlign w:val="center"/>
            <w:hideMark/>
          </w:tcPr>
          <w:p w14:paraId="3A9BAA84"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Title I</w:t>
            </w:r>
          </w:p>
        </w:tc>
        <w:tc>
          <w:tcPr>
            <w:tcW w:w="929" w:type="dxa"/>
            <w:tcBorders>
              <w:top w:val="nil"/>
              <w:left w:val="single" w:sz="8" w:space="0" w:color="auto"/>
              <w:bottom w:val="single" w:sz="4" w:space="0" w:color="auto"/>
              <w:right w:val="single" w:sz="4" w:space="0" w:color="auto"/>
            </w:tcBorders>
            <w:shd w:val="clear" w:color="000000" w:fill="F2F2F2"/>
            <w:vAlign w:val="center"/>
            <w:hideMark/>
          </w:tcPr>
          <w:p w14:paraId="00E96FC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w:t>
            </w:r>
          </w:p>
        </w:tc>
        <w:tc>
          <w:tcPr>
            <w:tcW w:w="929" w:type="dxa"/>
            <w:tcBorders>
              <w:top w:val="nil"/>
              <w:left w:val="nil"/>
              <w:bottom w:val="single" w:sz="4" w:space="0" w:color="auto"/>
              <w:right w:val="single" w:sz="4" w:space="0" w:color="auto"/>
            </w:tcBorders>
            <w:shd w:val="clear" w:color="000000" w:fill="F2F2F2"/>
            <w:vAlign w:val="center"/>
            <w:hideMark/>
          </w:tcPr>
          <w:p w14:paraId="16721FB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1568</w:t>
            </w:r>
          </w:p>
        </w:tc>
        <w:tc>
          <w:tcPr>
            <w:tcW w:w="929" w:type="dxa"/>
            <w:tcBorders>
              <w:top w:val="nil"/>
              <w:left w:val="nil"/>
              <w:bottom w:val="single" w:sz="4" w:space="0" w:color="auto"/>
              <w:right w:val="double" w:sz="4" w:space="0" w:color="auto"/>
            </w:tcBorders>
            <w:shd w:val="clear" w:color="000000" w:fill="F2F2F2"/>
            <w:vAlign w:val="center"/>
            <w:hideMark/>
          </w:tcPr>
          <w:p w14:paraId="3337F4C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2.6%</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04B5F28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w:t>
            </w:r>
          </w:p>
        </w:tc>
        <w:tc>
          <w:tcPr>
            <w:tcW w:w="929" w:type="dxa"/>
            <w:tcBorders>
              <w:top w:val="nil"/>
              <w:left w:val="nil"/>
              <w:bottom w:val="single" w:sz="4" w:space="0" w:color="auto"/>
              <w:right w:val="single" w:sz="4" w:space="0" w:color="auto"/>
            </w:tcBorders>
            <w:shd w:val="clear" w:color="000000" w:fill="F2F2F2"/>
            <w:vAlign w:val="center"/>
            <w:hideMark/>
          </w:tcPr>
          <w:p w14:paraId="53254B9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88</w:t>
            </w:r>
          </w:p>
        </w:tc>
        <w:tc>
          <w:tcPr>
            <w:tcW w:w="929" w:type="dxa"/>
            <w:tcBorders>
              <w:top w:val="nil"/>
              <w:left w:val="nil"/>
              <w:bottom w:val="single" w:sz="4" w:space="0" w:color="auto"/>
              <w:right w:val="double" w:sz="4" w:space="0" w:color="auto"/>
            </w:tcBorders>
            <w:shd w:val="clear" w:color="000000" w:fill="F2F2F2"/>
            <w:vAlign w:val="center"/>
            <w:hideMark/>
          </w:tcPr>
          <w:p w14:paraId="58D2BB2F"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3.4%</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2763E6DF"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80</w:t>
            </w:r>
          </w:p>
        </w:tc>
        <w:tc>
          <w:tcPr>
            <w:tcW w:w="929" w:type="dxa"/>
            <w:tcBorders>
              <w:top w:val="nil"/>
              <w:left w:val="nil"/>
              <w:bottom w:val="single" w:sz="4" w:space="0" w:color="auto"/>
              <w:right w:val="single" w:sz="4" w:space="0" w:color="auto"/>
            </w:tcBorders>
            <w:shd w:val="clear" w:color="000000" w:fill="F2F2F2"/>
            <w:vAlign w:val="center"/>
            <w:hideMark/>
          </w:tcPr>
          <w:p w14:paraId="3E9CC8F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3756</w:t>
            </w:r>
          </w:p>
        </w:tc>
        <w:tc>
          <w:tcPr>
            <w:tcW w:w="930" w:type="dxa"/>
            <w:tcBorders>
              <w:top w:val="nil"/>
              <w:left w:val="nil"/>
              <w:bottom w:val="single" w:sz="4" w:space="0" w:color="auto"/>
              <w:right w:val="single" w:sz="4" w:space="0" w:color="auto"/>
            </w:tcBorders>
            <w:shd w:val="clear" w:color="000000" w:fill="F2F2F2"/>
            <w:vAlign w:val="center"/>
            <w:hideMark/>
          </w:tcPr>
          <w:p w14:paraId="1FD657F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w:t>
            </w:r>
          </w:p>
        </w:tc>
      </w:tr>
      <w:tr w:rsidR="006C519F" w:rsidRPr="006C519F" w14:paraId="64024564" w14:textId="77777777" w:rsidTr="00ED6A6E">
        <w:trPr>
          <w:trHeight w:val="501"/>
        </w:trPr>
        <w:tc>
          <w:tcPr>
            <w:tcW w:w="1196" w:type="dxa"/>
            <w:tcBorders>
              <w:top w:val="nil"/>
              <w:left w:val="single" w:sz="4" w:space="0" w:color="auto"/>
              <w:bottom w:val="single" w:sz="4" w:space="0" w:color="auto"/>
              <w:right w:val="nil"/>
            </w:tcBorders>
            <w:shd w:val="clear" w:color="auto" w:fill="auto"/>
            <w:vAlign w:val="center"/>
            <w:hideMark/>
          </w:tcPr>
          <w:p w14:paraId="624C4F1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Non-Title I</w:t>
            </w:r>
          </w:p>
        </w:tc>
        <w:tc>
          <w:tcPr>
            <w:tcW w:w="929" w:type="dxa"/>
            <w:tcBorders>
              <w:top w:val="nil"/>
              <w:left w:val="single" w:sz="8" w:space="0" w:color="auto"/>
              <w:bottom w:val="single" w:sz="4" w:space="0" w:color="auto"/>
              <w:right w:val="single" w:sz="4" w:space="0" w:color="auto"/>
            </w:tcBorders>
            <w:shd w:val="clear" w:color="auto" w:fill="auto"/>
            <w:vAlign w:val="center"/>
            <w:hideMark/>
          </w:tcPr>
          <w:p w14:paraId="24831BF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w:t>
            </w:r>
          </w:p>
        </w:tc>
        <w:tc>
          <w:tcPr>
            <w:tcW w:w="929" w:type="dxa"/>
            <w:tcBorders>
              <w:top w:val="nil"/>
              <w:left w:val="nil"/>
              <w:bottom w:val="single" w:sz="4" w:space="0" w:color="auto"/>
              <w:right w:val="single" w:sz="4" w:space="0" w:color="auto"/>
            </w:tcBorders>
            <w:shd w:val="clear" w:color="auto" w:fill="auto"/>
            <w:vAlign w:val="center"/>
            <w:hideMark/>
          </w:tcPr>
          <w:p w14:paraId="54D4C12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200</w:t>
            </w:r>
          </w:p>
        </w:tc>
        <w:tc>
          <w:tcPr>
            <w:tcW w:w="929" w:type="dxa"/>
            <w:tcBorders>
              <w:top w:val="nil"/>
              <w:left w:val="nil"/>
              <w:bottom w:val="single" w:sz="4" w:space="0" w:color="auto"/>
              <w:right w:val="double" w:sz="4" w:space="0" w:color="auto"/>
            </w:tcBorders>
            <w:shd w:val="clear" w:color="auto" w:fill="auto"/>
            <w:vAlign w:val="center"/>
            <w:hideMark/>
          </w:tcPr>
          <w:p w14:paraId="0103AB2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0.0%</w:t>
            </w:r>
          </w:p>
        </w:tc>
        <w:tc>
          <w:tcPr>
            <w:tcW w:w="929" w:type="dxa"/>
            <w:tcBorders>
              <w:top w:val="nil"/>
              <w:left w:val="double" w:sz="4" w:space="0" w:color="auto"/>
              <w:bottom w:val="single" w:sz="4" w:space="0" w:color="auto"/>
              <w:right w:val="single" w:sz="4" w:space="0" w:color="auto"/>
            </w:tcBorders>
            <w:shd w:val="clear" w:color="auto" w:fill="auto"/>
            <w:vAlign w:val="center"/>
            <w:hideMark/>
          </w:tcPr>
          <w:p w14:paraId="04C9957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18</w:t>
            </w:r>
          </w:p>
        </w:tc>
        <w:tc>
          <w:tcPr>
            <w:tcW w:w="929" w:type="dxa"/>
            <w:tcBorders>
              <w:top w:val="nil"/>
              <w:left w:val="nil"/>
              <w:bottom w:val="single" w:sz="4" w:space="0" w:color="auto"/>
              <w:right w:val="single" w:sz="4" w:space="0" w:color="auto"/>
            </w:tcBorders>
            <w:shd w:val="clear" w:color="auto" w:fill="auto"/>
            <w:vAlign w:val="center"/>
            <w:hideMark/>
          </w:tcPr>
          <w:p w14:paraId="4476D23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2213</w:t>
            </w:r>
          </w:p>
        </w:tc>
        <w:tc>
          <w:tcPr>
            <w:tcW w:w="929" w:type="dxa"/>
            <w:tcBorders>
              <w:top w:val="nil"/>
              <w:left w:val="nil"/>
              <w:bottom w:val="single" w:sz="4" w:space="0" w:color="auto"/>
              <w:right w:val="double" w:sz="4" w:space="0" w:color="auto"/>
            </w:tcBorders>
            <w:shd w:val="clear" w:color="auto" w:fill="auto"/>
            <w:vAlign w:val="center"/>
            <w:hideMark/>
          </w:tcPr>
          <w:p w14:paraId="1D6B55D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0.8%</w:t>
            </w:r>
          </w:p>
        </w:tc>
        <w:tc>
          <w:tcPr>
            <w:tcW w:w="929" w:type="dxa"/>
            <w:tcBorders>
              <w:top w:val="nil"/>
              <w:left w:val="double" w:sz="4" w:space="0" w:color="auto"/>
              <w:bottom w:val="single" w:sz="4" w:space="0" w:color="auto"/>
              <w:right w:val="single" w:sz="4" w:space="0" w:color="auto"/>
            </w:tcBorders>
            <w:shd w:val="clear" w:color="auto" w:fill="auto"/>
            <w:vAlign w:val="center"/>
            <w:hideMark/>
          </w:tcPr>
          <w:p w14:paraId="39C9DD9F"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32</w:t>
            </w:r>
          </w:p>
        </w:tc>
        <w:tc>
          <w:tcPr>
            <w:tcW w:w="929" w:type="dxa"/>
            <w:tcBorders>
              <w:top w:val="nil"/>
              <w:left w:val="nil"/>
              <w:bottom w:val="single" w:sz="4" w:space="0" w:color="auto"/>
              <w:right w:val="single" w:sz="4" w:space="0" w:color="auto"/>
            </w:tcBorders>
            <w:shd w:val="clear" w:color="auto" w:fill="auto"/>
            <w:vAlign w:val="center"/>
            <w:hideMark/>
          </w:tcPr>
          <w:p w14:paraId="1047EA8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4369</w:t>
            </w:r>
          </w:p>
        </w:tc>
        <w:tc>
          <w:tcPr>
            <w:tcW w:w="930" w:type="dxa"/>
            <w:tcBorders>
              <w:top w:val="nil"/>
              <w:left w:val="nil"/>
              <w:bottom w:val="single" w:sz="4" w:space="0" w:color="auto"/>
              <w:right w:val="single" w:sz="4" w:space="0" w:color="auto"/>
            </w:tcBorders>
            <w:shd w:val="clear" w:color="auto" w:fill="auto"/>
            <w:vAlign w:val="center"/>
            <w:hideMark/>
          </w:tcPr>
          <w:p w14:paraId="31FD787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0.7%</w:t>
            </w:r>
          </w:p>
        </w:tc>
      </w:tr>
      <w:tr w:rsidR="006C519F" w:rsidRPr="006C519F" w14:paraId="13267D12" w14:textId="77777777" w:rsidTr="00ED6A6E">
        <w:trPr>
          <w:trHeight w:val="501"/>
        </w:trPr>
        <w:tc>
          <w:tcPr>
            <w:tcW w:w="1196" w:type="dxa"/>
            <w:tcBorders>
              <w:top w:val="nil"/>
              <w:left w:val="single" w:sz="4" w:space="0" w:color="auto"/>
              <w:bottom w:val="single" w:sz="4" w:space="0" w:color="auto"/>
              <w:right w:val="nil"/>
            </w:tcBorders>
            <w:shd w:val="clear" w:color="000000" w:fill="F2F2F2"/>
            <w:vAlign w:val="center"/>
            <w:hideMark/>
          </w:tcPr>
          <w:p w14:paraId="462CEBF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All schools</w:t>
            </w:r>
          </w:p>
        </w:tc>
        <w:tc>
          <w:tcPr>
            <w:tcW w:w="929" w:type="dxa"/>
            <w:tcBorders>
              <w:top w:val="nil"/>
              <w:left w:val="single" w:sz="8" w:space="0" w:color="auto"/>
              <w:bottom w:val="single" w:sz="8" w:space="0" w:color="auto"/>
              <w:right w:val="single" w:sz="4" w:space="0" w:color="auto"/>
            </w:tcBorders>
            <w:shd w:val="clear" w:color="000000" w:fill="F2F2F2"/>
            <w:vAlign w:val="center"/>
            <w:hideMark/>
          </w:tcPr>
          <w:p w14:paraId="44652604"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w:t>
            </w:r>
          </w:p>
        </w:tc>
        <w:tc>
          <w:tcPr>
            <w:tcW w:w="929" w:type="dxa"/>
            <w:tcBorders>
              <w:top w:val="nil"/>
              <w:left w:val="nil"/>
              <w:bottom w:val="single" w:sz="8" w:space="0" w:color="auto"/>
              <w:right w:val="single" w:sz="4" w:space="0" w:color="auto"/>
            </w:tcBorders>
            <w:shd w:val="clear" w:color="000000" w:fill="F2F2F2"/>
            <w:vAlign w:val="center"/>
            <w:hideMark/>
          </w:tcPr>
          <w:p w14:paraId="777045A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1768</w:t>
            </w:r>
          </w:p>
        </w:tc>
        <w:tc>
          <w:tcPr>
            <w:tcW w:w="929" w:type="dxa"/>
            <w:tcBorders>
              <w:top w:val="nil"/>
              <w:left w:val="nil"/>
              <w:bottom w:val="single" w:sz="8" w:space="0" w:color="auto"/>
              <w:right w:val="double" w:sz="4" w:space="0" w:color="auto"/>
            </w:tcBorders>
            <w:shd w:val="clear" w:color="000000" w:fill="F2F2F2"/>
            <w:vAlign w:val="center"/>
            <w:hideMark/>
          </w:tcPr>
          <w:p w14:paraId="292C646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2.3%</w:t>
            </w:r>
          </w:p>
        </w:tc>
        <w:tc>
          <w:tcPr>
            <w:tcW w:w="929" w:type="dxa"/>
            <w:tcBorders>
              <w:top w:val="nil"/>
              <w:left w:val="double" w:sz="4" w:space="0" w:color="auto"/>
              <w:bottom w:val="single" w:sz="8" w:space="0" w:color="auto"/>
              <w:right w:val="single" w:sz="4" w:space="0" w:color="auto"/>
            </w:tcBorders>
            <w:shd w:val="clear" w:color="000000" w:fill="F2F2F2"/>
            <w:vAlign w:val="center"/>
            <w:hideMark/>
          </w:tcPr>
          <w:p w14:paraId="27152D6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w:t>
            </w:r>
          </w:p>
        </w:tc>
        <w:tc>
          <w:tcPr>
            <w:tcW w:w="929" w:type="dxa"/>
            <w:tcBorders>
              <w:top w:val="nil"/>
              <w:left w:val="nil"/>
              <w:bottom w:val="single" w:sz="8" w:space="0" w:color="auto"/>
              <w:right w:val="single" w:sz="4" w:space="0" w:color="auto"/>
            </w:tcBorders>
            <w:shd w:val="clear" w:color="000000" w:fill="F2F2F2"/>
            <w:vAlign w:val="center"/>
            <w:hideMark/>
          </w:tcPr>
          <w:p w14:paraId="727C45D3"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2301</w:t>
            </w:r>
          </w:p>
        </w:tc>
        <w:tc>
          <w:tcPr>
            <w:tcW w:w="929" w:type="dxa"/>
            <w:tcBorders>
              <w:top w:val="nil"/>
              <w:left w:val="nil"/>
              <w:bottom w:val="single" w:sz="8" w:space="0" w:color="auto"/>
              <w:right w:val="double" w:sz="4" w:space="0" w:color="auto"/>
            </w:tcBorders>
            <w:shd w:val="clear" w:color="000000" w:fill="F2F2F2"/>
            <w:vAlign w:val="center"/>
            <w:hideMark/>
          </w:tcPr>
          <w:p w14:paraId="248F955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0.9%</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3360A41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112</w:t>
            </w:r>
          </w:p>
        </w:tc>
        <w:tc>
          <w:tcPr>
            <w:tcW w:w="929" w:type="dxa"/>
            <w:tcBorders>
              <w:top w:val="nil"/>
              <w:left w:val="nil"/>
              <w:bottom w:val="single" w:sz="4" w:space="0" w:color="auto"/>
              <w:right w:val="single" w:sz="4" w:space="0" w:color="auto"/>
            </w:tcBorders>
            <w:shd w:val="clear" w:color="000000" w:fill="F2F2F2"/>
            <w:vAlign w:val="center"/>
            <w:hideMark/>
          </w:tcPr>
          <w:p w14:paraId="1D83C16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8155</w:t>
            </w:r>
          </w:p>
        </w:tc>
        <w:tc>
          <w:tcPr>
            <w:tcW w:w="930" w:type="dxa"/>
            <w:tcBorders>
              <w:top w:val="nil"/>
              <w:left w:val="nil"/>
              <w:bottom w:val="single" w:sz="4" w:space="0" w:color="auto"/>
              <w:right w:val="single" w:sz="4" w:space="0" w:color="auto"/>
            </w:tcBorders>
            <w:shd w:val="clear" w:color="000000" w:fill="F2F2F2"/>
            <w:vAlign w:val="center"/>
            <w:hideMark/>
          </w:tcPr>
          <w:p w14:paraId="629F44F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1.4%</w:t>
            </w:r>
          </w:p>
        </w:tc>
      </w:tr>
    </w:tbl>
    <w:p w14:paraId="516FE64B" w14:textId="77777777" w:rsidR="0016672C" w:rsidRDefault="0016672C" w:rsidP="00987664">
      <w:pPr>
        <w:ind w:left="1126" w:right="1128"/>
        <w:jc w:val="center"/>
        <w:rPr>
          <w:rFonts w:ascii="Calibri" w:eastAsia="Calibri" w:hAnsi="Calibri" w:cs="Calibri"/>
        </w:rPr>
      </w:pPr>
    </w:p>
    <w:p w14:paraId="5D18F11F" w14:textId="3669C03D" w:rsidR="007E5090" w:rsidRDefault="007E5090" w:rsidP="00E664BC">
      <w:pPr>
        <w:spacing w:before="240"/>
        <w:ind w:left="2223" w:right="2224"/>
        <w:jc w:val="center"/>
        <w:rPr>
          <w:rFonts w:ascii="Calibri"/>
          <w:b/>
          <w:spacing w:val="-1"/>
        </w:rPr>
      </w:pPr>
      <w:r>
        <w:rPr>
          <w:rFonts w:ascii="Calibri"/>
          <w:b/>
          <w:spacing w:val="-1"/>
        </w:rPr>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Ineffective Teachers (2017-2018)</w:t>
      </w:r>
    </w:p>
    <w:tbl>
      <w:tblPr>
        <w:tblW w:w="9483" w:type="dxa"/>
        <w:tblLook w:val="04A0" w:firstRow="1" w:lastRow="0" w:firstColumn="1" w:lastColumn="0" w:noHBand="0" w:noVBand="1"/>
      </w:tblPr>
      <w:tblGrid>
        <w:gridCol w:w="1239"/>
        <w:gridCol w:w="916"/>
        <w:gridCol w:w="916"/>
        <w:gridCol w:w="916"/>
        <w:gridCol w:w="916"/>
        <w:gridCol w:w="916"/>
        <w:gridCol w:w="916"/>
        <w:gridCol w:w="916"/>
        <w:gridCol w:w="916"/>
        <w:gridCol w:w="916"/>
      </w:tblGrid>
      <w:tr w:rsidR="006C519F" w:rsidRPr="006C519F" w14:paraId="160B9687" w14:textId="77777777" w:rsidTr="00ED6A6E">
        <w:trPr>
          <w:trHeight w:val="2079"/>
        </w:trPr>
        <w:tc>
          <w:tcPr>
            <w:tcW w:w="1239" w:type="dxa"/>
            <w:tcBorders>
              <w:top w:val="single" w:sz="4" w:space="0" w:color="auto"/>
              <w:left w:val="single" w:sz="4" w:space="0" w:color="auto"/>
              <w:bottom w:val="single" w:sz="4" w:space="0" w:color="auto"/>
              <w:right w:val="single" w:sz="4" w:space="0" w:color="auto"/>
            </w:tcBorders>
            <w:vAlign w:val="center"/>
            <w:hideMark/>
          </w:tcPr>
          <w:p w14:paraId="7569C4E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School Type</w:t>
            </w:r>
          </w:p>
        </w:tc>
        <w:tc>
          <w:tcPr>
            <w:tcW w:w="916"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75B39799"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minority quartile</w:t>
            </w:r>
            <w:r w:rsidRPr="006C519F">
              <w:rPr>
                <w:rFonts w:ascii="Calibri" w:eastAsia="Times New Roman" w:hAnsi="Calibri" w:cs="Calibri"/>
                <w:sz w:val="18"/>
                <w:szCs w:val="18"/>
              </w:rPr>
              <w:b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5CBD17B"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High minority quartile </w:t>
            </w:r>
            <w:r w:rsidRPr="006C519F">
              <w:rPr>
                <w:rFonts w:ascii="Calibri" w:eastAsia="Times New Roman" w:hAnsi="Calibri" w:cs="Calibri"/>
                <w:sz w:val="18"/>
                <w:szCs w:val="18"/>
              </w:rPr>
              <w:br/>
              <w:t>Total teachers</w:t>
            </w:r>
          </w:p>
        </w:tc>
        <w:tc>
          <w:tcPr>
            <w:tcW w:w="916" w:type="dxa"/>
            <w:tcBorders>
              <w:top w:val="single" w:sz="4" w:space="0" w:color="auto"/>
              <w:left w:val="nil"/>
              <w:bottom w:val="single" w:sz="4" w:space="0" w:color="auto"/>
              <w:right w:val="double" w:sz="4" w:space="0" w:color="auto"/>
            </w:tcBorders>
            <w:shd w:val="clear" w:color="auto" w:fill="auto"/>
            <w:textDirection w:val="btLr"/>
            <w:vAlign w:val="center"/>
            <w:hideMark/>
          </w:tcPr>
          <w:p w14:paraId="773009C3"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High minority quartile</w:t>
            </w:r>
            <w:r w:rsidRPr="006C519F">
              <w:rPr>
                <w:rFonts w:ascii="Calibri" w:eastAsia="Times New Roman" w:hAnsi="Calibri" w:cs="Calibri"/>
                <w:sz w:val="18"/>
                <w:szCs w:val="18"/>
              </w:rPr>
              <w:br/>
              <w:t xml:space="preserve"> % ineffective</w:t>
            </w:r>
          </w:p>
        </w:tc>
        <w:tc>
          <w:tcPr>
            <w:tcW w:w="916"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08F372E2"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minority quartile</w:t>
            </w:r>
            <w:r w:rsidRPr="006C519F">
              <w:rPr>
                <w:rFonts w:ascii="Calibri" w:eastAsia="Times New Roman" w:hAnsi="Calibri" w:cs="Calibri"/>
                <w:sz w:val="18"/>
                <w:szCs w:val="18"/>
              </w:rPr>
              <w:b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8AF115"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minority quartile</w:t>
            </w:r>
            <w:r w:rsidRPr="006C519F">
              <w:rPr>
                <w:rFonts w:ascii="Calibri" w:eastAsia="Times New Roman" w:hAnsi="Calibri" w:cs="Calibri"/>
                <w:sz w:val="18"/>
                <w:szCs w:val="18"/>
              </w:rPr>
              <w:br/>
              <w:t>Total teachers</w:t>
            </w:r>
          </w:p>
        </w:tc>
        <w:tc>
          <w:tcPr>
            <w:tcW w:w="916" w:type="dxa"/>
            <w:tcBorders>
              <w:top w:val="single" w:sz="4" w:space="0" w:color="auto"/>
              <w:left w:val="nil"/>
              <w:bottom w:val="single" w:sz="4" w:space="0" w:color="auto"/>
              <w:right w:val="double" w:sz="4" w:space="0" w:color="auto"/>
            </w:tcBorders>
            <w:shd w:val="clear" w:color="auto" w:fill="auto"/>
            <w:textDirection w:val="btLr"/>
            <w:vAlign w:val="center"/>
            <w:hideMark/>
          </w:tcPr>
          <w:p w14:paraId="334FC08B"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Low minority quartile</w:t>
            </w:r>
            <w:r w:rsidRPr="006C519F">
              <w:rPr>
                <w:rFonts w:ascii="Calibri" w:eastAsia="Times New Roman" w:hAnsi="Calibri" w:cs="Calibri"/>
                <w:sz w:val="18"/>
                <w:szCs w:val="18"/>
              </w:rPr>
              <w:br/>
              <w:t>% ineffective</w:t>
            </w:r>
          </w:p>
        </w:tc>
        <w:tc>
          <w:tcPr>
            <w:tcW w:w="916"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159A6F89"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All schools</w:t>
            </w:r>
            <w:r w:rsidRPr="006C519F">
              <w:rPr>
                <w:rFonts w:ascii="Calibri" w:eastAsia="Times New Roman" w:hAnsi="Calibri" w:cs="Calibri"/>
                <w:sz w:val="18"/>
                <w:szCs w:val="18"/>
              </w:rPr>
              <w:b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B5A8D8"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All schools Total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1B4AA6" w14:textId="77777777" w:rsidR="0016672C" w:rsidRPr="006C519F" w:rsidRDefault="0016672C" w:rsidP="00ED6A6E">
            <w:pPr>
              <w:jc w:val="center"/>
              <w:rPr>
                <w:rFonts w:ascii="Calibri" w:eastAsia="Times New Roman" w:hAnsi="Calibri" w:cs="Calibri"/>
                <w:sz w:val="18"/>
                <w:szCs w:val="18"/>
              </w:rPr>
            </w:pPr>
            <w:r w:rsidRPr="006C519F">
              <w:rPr>
                <w:rFonts w:ascii="Calibri" w:eastAsia="Times New Roman" w:hAnsi="Calibri" w:cs="Calibri"/>
                <w:sz w:val="18"/>
                <w:szCs w:val="18"/>
              </w:rPr>
              <w:t xml:space="preserve">All schools </w:t>
            </w:r>
            <w:r w:rsidRPr="006C519F">
              <w:rPr>
                <w:rFonts w:ascii="Calibri" w:eastAsia="Times New Roman" w:hAnsi="Calibri" w:cs="Calibri"/>
                <w:sz w:val="18"/>
                <w:szCs w:val="18"/>
              </w:rPr>
              <w:br/>
              <w:t>% ineffective</w:t>
            </w:r>
          </w:p>
        </w:tc>
      </w:tr>
      <w:tr w:rsidR="006C519F" w:rsidRPr="006C519F" w14:paraId="6CCD40E7" w14:textId="77777777" w:rsidTr="00ED6A6E">
        <w:trPr>
          <w:trHeight w:val="527"/>
        </w:trPr>
        <w:tc>
          <w:tcPr>
            <w:tcW w:w="1239" w:type="dxa"/>
            <w:tcBorders>
              <w:top w:val="nil"/>
              <w:left w:val="single" w:sz="4" w:space="0" w:color="auto"/>
              <w:bottom w:val="single" w:sz="4" w:space="0" w:color="auto"/>
              <w:right w:val="nil"/>
            </w:tcBorders>
            <w:shd w:val="clear" w:color="000000" w:fill="F2F2F2"/>
            <w:vAlign w:val="center"/>
            <w:hideMark/>
          </w:tcPr>
          <w:p w14:paraId="559A72D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Title I</w:t>
            </w:r>
          </w:p>
        </w:tc>
        <w:tc>
          <w:tcPr>
            <w:tcW w:w="916" w:type="dxa"/>
            <w:tcBorders>
              <w:top w:val="nil"/>
              <w:left w:val="single" w:sz="8" w:space="0" w:color="auto"/>
              <w:bottom w:val="single" w:sz="4" w:space="0" w:color="auto"/>
              <w:right w:val="single" w:sz="4" w:space="0" w:color="auto"/>
            </w:tcBorders>
            <w:shd w:val="clear" w:color="000000" w:fill="F2F2F2"/>
            <w:vAlign w:val="center"/>
            <w:hideMark/>
          </w:tcPr>
          <w:p w14:paraId="21337121"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39</w:t>
            </w:r>
          </w:p>
        </w:tc>
        <w:tc>
          <w:tcPr>
            <w:tcW w:w="916" w:type="dxa"/>
            <w:tcBorders>
              <w:top w:val="nil"/>
              <w:left w:val="nil"/>
              <w:bottom w:val="single" w:sz="4" w:space="0" w:color="auto"/>
              <w:right w:val="single" w:sz="4" w:space="0" w:color="auto"/>
            </w:tcBorders>
            <w:shd w:val="clear" w:color="000000" w:fill="F2F2F2"/>
            <w:vAlign w:val="center"/>
            <w:hideMark/>
          </w:tcPr>
          <w:p w14:paraId="4D87B11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971</w:t>
            </w:r>
          </w:p>
        </w:tc>
        <w:tc>
          <w:tcPr>
            <w:tcW w:w="916" w:type="dxa"/>
            <w:tcBorders>
              <w:top w:val="nil"/>
              <w:left w:val="nil"/>
              <w:bottom w:val="single" w:sz="4" w:space="0" w:color="auto"/>
              <w:right w:val="double" w:sz="4" w:space="0" w:color="auto"/>
            </w:tcBorders>
            <w:shd w:val="clear" w:color="000000" w:fill="F2F2F2"/>
            <w:vAlign w:val="center"/>
            <w:hideMark/>
          </w:tcPr>
          <w:p w14:paraId="69A2933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w:t>
            </w:r>
          </w:p>
        </w:tc>
        <w:tc>
          <w:tcPr>
            <w:tcW w:w="916" w:type="dxa"/>
            <w:tcBorders>
              <w:top w:val="nil"/>
              <w:left w:val="double" w:sz="4" w:space="0" w:color="auto"/>
              <w:bottom w:val="single" w:sz="4" w:space="0" w:color="auto"/>
              <w:right w:val="single" w:sz="4" w:space="0" w:color="auto"/>
            </w:tcBorders>
            <w:shd w:val="clear" w:color="000000" w:fill="F2F2F2"/>
            <w:vAlign w:val="center"/>
            <w:hideMark/>
          </w:tcPr>
          <w:p w14:paraId="1CF7154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6</w:t>
            </w:r>
          </w:p>
        </w:tc>
        <w:tc>
          <w:tcPr>
            <w:tcW w:w="916" w:type="dxa"/>
            <w:tcBorders>
              <w:top w:val="nil"/>
              <w:left w:val="nil"/>
              <w:bottom w:val="single" w:sz="4" w:space="0" w:color="auto"/>
              <w:right w:val="single" w:sz="4" w:space="0" w:color="auto"/>
            </w:tcBorders>
            <w:shd w:val="clear" w:color="000000" w:fill="F2F2F2"/>
            <w:vAlign w:val="center"/>
            <w:hideMark/>
          </w:tcPr>
          <w:p w14:paraId="4DF80C4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572</w:t>
            </w:r>
          </w:p>
        </w:tc>
        <w:tc>
          <w:tcPr>
            <w:tcW w:w="916" w:type="dxa"/>
            <w:tcBorders>
              <w:top w:val="nil"/>
              <w:left w:val="nil"/>
              <w:bottom w:val="single" w:sz="4" w:space="0" w:color="auto"/>
              <w:right w:val="double" w:sz="4" w:space="0" w:color="auto"/>
            </w:tcBorders>
            <w:shd w:val="clear" w:color="000000" w:fill="F2F2F2"/>
            <w:vAlign w:val="center"/>
            <w:hideMark/>
          </w:tcPr>
          <w:p w14:paraId="3FFBBE3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1.0%</w:t>
            </w:r>
          </w:p>
        </w:tc>
        <w:tc>
          <w:tcPr>
            <w:tcW w:w="916" w:type="dxa"/>
            <w:tcBorders>
              <w:top w:val="nil"/>
              <w:left w:val="double" w:sz="4" w:space="0" w:color="auto"/>
              <w:bottom w:val="single" w:sz="4" w:space="0" w:color="auto"/>
              <w:right w:val="single" w:sz="4" w:space="0" w:color="auto"/>
            </w:tcBorders>
            <w:shd w:val="clear" w:color="000000" w:fill="F2F2F2"/>
            <w:vAlign w:val="center"/>
            <w:hideMark/>
          </w:tcPr>
          <w:p w14:paraId="37BCDCDC"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80</w:t>
            </w:r>
          </w:p>
        </w:tc>
        <w:tc>
          <w:tcPr>
            <w:tcW w:w="916" w:type="dxa"/>
            <w:tcBorders>
              <w:top w:val="nil"/>
              <w:left w:val="nil"/>
              <w:bottom w:val="single" w:sz="4" w:space="0" w:color="auto"/>
              <w:right w:val="single" w:sz="4" w:space="0" w:color="auto"/>
            </w:tcBorders>
            <w:shd w:val="clear" w:color="000000" w:fill="F2F2F2"/>
            <w:vAlign w:val="center"/>
            <w:hideMark/>
          </w:tcPr>
          <w:p w14:paraId="6371A31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3756</w:t>
            </w:r>
          </w:p>
        </w:tc>
        <w:tc>
          <w:tcPr>
            <w:tcW w:w="916" w:type="dxa"/>
            <w:tcBorders>
              <w:top w:val="nil"/>
              <w:left w:val="nil"/>
              <w:bottom w:val="single" w:sz="4" w:space="0" w:color="auto"/>
              <w:right w:val="single" w:sz="4" w:space="0" w:color="auto"/>
            </w:tcBorders>
            <w:shd w:val="clear" w:color="000000" w:fill="F2F2F2"/>
            <w:vAlign w:val="center"/>
            <w:hideMark/>
          </w:tcPr>
          <w:p w14:paraId="198A618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2.1%</w:t>
            </w:r>
          </w:p>
        </w:tc>
      </w:tr>
      <w:tr w:rsidR="006C519F" w:rsidRPr="006C519F" w14:paraId="4A0D191A" w14:textId="77777777" w:rsidTr="00ED6A6E">
        <w:trPr>
          <w:trHeight w:val="527"/>
        </w:trPr>
        <w:tc>
          <w:tcPr>
            <w:tcW w:w="1239" w:type="dxa"/>
            <w:tcBorders>
              <w:top w:val="nil"/>
              <w:left w:val="single" w:sz="4" w:space="0" w:color="auto"/>
              <w:bottom w:val="single" w:sz="4" w:space="0" w:color="auto"/>
              <w:right w:val="nil"/>
            </w:tcBorders>
            <w:shd w:val="clear" w:color="auto" w:fill="auto"/>
            <w:vAlign w:val="center"/>
            <w:hideMark/>
          </w:tcPr>
          <w:p w14:paraId="193FC03A"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Non-Title I</w:t>
            </w:r>
          </w:p>
        </w:tc>
        <w:tc>
          <w:tcPr>
            <w:tcW w:w="916" w:type="dxa"/>
            <w:tcBorders>
              <w:top w:val="nil"/>
              <w:left w:val="single" w:sz="8" w:space="0" w:color="auto"/>
              <w:bottom w:val="single" w:sz="4" w:space="0" w:color="auto"/>
              <w:right w:val="single" w:sz="4" w:space="0" w:color="auto"/>
            </w:tcBorders>
            <w:shd w:val="clear" w:color="auto" w:fill="auto"/>
            <w:vAlign w:val="center"/>
            <w:hideMark/>
          </w:tcPr>
          <w:p w14:paraId="3DBE308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w:t>
            </w:r>
          </w:p>
        </w:tc>
        <w:tc>
          <w:tcPr>
            <w:tcW w:w="916" w:type="dxa"/>
            <w:tcBorders>
              <w:top w:val="nil"/>
              <w:left w:val="nil"/>
              <w:bottom w:val="single" w:sz="4" w:space="0" w:color="auto"/>
              <w:right w:val="single" w:sz="4" w:space="0" w:color="auto"/>
            </w:tcBorders>
            <w:shd w:val="clear" w:color="auto" w:fill="auto"/>
            <w:vAlign w:val="center"/>
            <w:hideMark/>
          </w:tcPr>
          <w:p w14:paraId="4458CBD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104</w:t>
            </w:r>
          </w:p>
        </w:tc>
        <w:tc>
          <w:tcPr>
            <w:tcW w:w="916" w:type="dxa"/>
            <w:tcBorders>
              <w:top w:val="nil"/>
              <w:left w:val="nil"/>
              <w:bottom w:val="single" w:sz="4" w:space="0" w:color="auto"/>
              <w:right w:val="double" w:sz="4" w:space="0" w:color="auto"/>
            </w:tcBorders>
            <w:shd w:val="clear" w:color="auto" w:fill="auto"/>
            <w:vAlign w:val="center"/>
            <w:hideMark/>
          </w:tcPr>
          <w:p w14:paraId="1D90C94E"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1.0%</w:t>
            </w:r>
          </w:p>
        </w:tc>
        <w:tc>
          <w:tcPr>
            <w:tcW w:w="916" w:type="dxa"/>
            <w:tcBorders>
              <w:top w:val="nil"/>
              <w:left w:val="double" w:sz="4" w:space="0" w:color="auto"/>
              <w:bottom w:val="single" w:sz="4" w:space="0" w:color="auto"/>
              <w:right w:val="single" w:sz="4" w:space="0" w:color="auto"/>
            </w:tcBorders>
            <w:shd w:val="clear" w:color="auto" w:fill="auto"/>
            <w:vAlign w:val="center"/>
            <w:hideMark/>
          </w:tcPr>
          <w:p w14:paraId="568772C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13</w:t>
            </w:r>
          </w:p>
        </w:tc>
        <w:tc>
          <w:tcPr>
            <w:tcW w:w="916" w:type="dxa"/>
            <w:tcBorders>
              <w:top w:val="nil"/>
              <w:left w:val="nil"/>
              <w:bottom w:val="single" w:sz="4" w:space="0" w:color="auto"/>
              <w:right w:val="single" w:sz="4" w:space="0" w:color="auto"/>
            </w:tcBorders>
            <w:shd w:val="clear" w:color="auto" w:fill="auto"/>
            <w:vAlign w:val="center"/>
            <w:hideMark/>
          </w:tcPr>
          <w:p w14:paraId="254B140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1435</w:t>
            </w:r>
          </w:p>
        </w:tc>
        <w:tc>
          <w:tcPr>
            <w:tcW w:w="916" w:type="dxa"/>
            <w:tcBorders>
              <w:top w:val="nil"/>
              <w:left w:val="nil"/>
              <w:bottom w:val="single" w:sz="4" w:space="0" w:color="auto"/>
              <w:right w:val="double" w:sz="4" w:space="0" w:color="auto"/>
            </w:tcBorders>
            <w:shd w:val="clear" w:color="auto" w:fill="auto"/>
            <w:vAlign w:val="center"/>
            <w:hideMark/>
          </w:tcPr>
          <w:p w14:paraId="4C4C6BA5"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0.9%</w:t>
            </w:r>
          </w:p>
        </w:tc>
        <w:tc>
          <w:tcPr>
            <w:tcW w:w="916" w:type="dxa"/>
            <w:tcBorders>
              <w:top w:val="nil"/>
              <w:left w:val="double" w:sz="4" w:space="0" w:color="auto"/>
              <w:bottom w:val="single" w:sz="4" w:space="0" w:color="auto"/>
              <w:right w:val="single" w:sz="4" w:space="0" w:color="auto"/>
            </w:tcBorders>
            <w:shd w:val="clear" w:color="auto" w:fill="auto"/>
            <w:vAlign w:val="center"/>
            <w:hideMark/>
          </w:tcPr>
          <w:p w14:paraId="2ACA72A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32</w:t>
            </w:r>
          </w:p>
        </w:tc>
        <w:tc>
          <w:tcPr>
            <w:tcW w:w="916" w:type="dxa"/>
            <w:tcBorders>
              <w:top w:val="nil"/>
              <w:left w:val="nil"/>
              <w:bottom w:val="single" w:sz="4" w:space="0" w:color="auto"/>
              <w:right w:val="single" w:sz="4" w:space="0" w:color="auto"/>
            </w:tcBorders>
            <w:shd w:val="clear" w:color="auto" w:fill="auto"/>
            <w:vAlign w:val="center"/>
            <w:hideMark/>
          </w:tcPr>
          <w:p w14:paraId="339C7496"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4369</w:t>
            </w:r>
          </w:p>
        </w:tc>
        <w:tc>
          <w:tcPr>
            <w:tcW w:w="916" w:type="dxa"/>
            <w:tcBorders>
              <w:top w:val="nil"/>
              <w:left w:val="nil"/>
              <w:bottom w:val="single" w:sz="4" w:space="0" w:color="auto"/>
              <w:right w:val="single" w:sz="4" w:space="0" w:color="auto"/>
            </w:tcBorders>
            <w:shd w:val="clear" w:color="auto" w:fill="auto"/>
            <w:vAlign w:val="center"/>
            <w:hideMark/>
          </w:tcPr>
          <w:p w14:paraId="14318020"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0.7%</w:t>
            </w:r>
          </w:p>
        </w:tc>
      </w:tr>
      <w:tr w:rsidR="006C519F" w:rsidRPr="006C519F" w14:paraId="76C0F933" w14:textId="77777777" w:rsidTr="00ED6A6E">
        <w:trPr>
          <w:trHeight w:val="527"/>
        </w:trPr>
        <w:tc>
          <w:tcPr>
            <w:tcW w:w="1239" w:type="dxa"/>
            <w:tcBorders>
              <w:top w:val="nil"/>
              <w:left w:val="single" w:sz="4" w:space="0" w:color="auto"/>
              <w:bottom w:val="single" w:sz="4" w:space="0" w:color="auto"/>
              <w:right w:val="nil"/>
            </w:tcBorders>
            <w:shd w:val="clear" w:color="000000" w:fill="F2F2F2"/>
            <w:vAlign w:val="center"/>
            <w:hideMark/>
          </w:tcPr>
          <w:p w14:paraId="7388CD3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All schools</w:t>
            </w:r>
          </w:p>
        </w:tc>
        <w:tc>
          <w:tcPr>
            <w:tcW w:w="916" w:type="dxa"/>
            <w:tcBorders>
              <w:top w:val="nil"/>
              <w:left w:val="single" w:sz="8" w:space="0" w:color="auto"/>
              <w:bottom w:val="single" w:sz="8" w:space="0" w:color="auto"/>
              <w:right w:val="single" w:sz="4" w:space="0" w:color="auto"/>
            </w:tcBorders>
            <w:shd w:val="clear" w:color="000000" w:fill="F2F2F2"/>
            <w:vAlign w:val="center"/>
            <w:hideMark/>
          </w:tcPr>
          <w:p w14:paraId="62369259"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40</w:t>
            </w:r>
          </w:p>
        </w:tc>
        <w:tc>
          <w:tcPr>
            <w:tcW w:w="916" w:type="dxa"/>
            <w:tcBorders>
              <w:top w:val="nil"/>
              <w:left w:val="nil"/>
              <w:bottom w:val="single" w:sz="8" w:space="0" w:color="auto"/>
              <w:right w:val="single" w:sz="4" w:space="0" w:color="auto"/>
            </w:tcBorders>
            <w:shd w:val="clear" w:color="000000" w:fill="F2F2F2"/>
            <w:vAlign w:val="center"/>
            <w:hideMark/>
          </w:tcPr>
          <w:p w14:paraId="62993D7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1075</w:t>
            </w:r>
          </w:p>
        </w:tc>
        <w:tc>
          <w:tcPr>
            <w:tcW w:w="916" w:type="dxa"/>
            <w:tcBorders>
              <w:top w:val="nil"/>
              <w:left w:val="nil"/>
              <w:bottom w:val="single" w:sz="8" w:space="0" w:color="auto"/>
              <w:right w:val="double" w:sz="4" w:space="0" w:color="auto"/>
            </w:tcBorders>
            <w:shd w:val="clear" w:color="000000" w:fill="F2F2F2"/>
            <w:vAlign w:val="center"/>
            <w:hideMark/>
          </w:tcPr>
          <w:p w14:paraId="2BD7F5F8"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3.7%</w:t>
            </w:r>
          </w:p>
        </w:tc>
        <w:tc>
          <w:tcPr>
            <w:tcW w:w="916" w:type="dxa"/>
            <w:tcBorders>
              <w:top w:val="nil"/>
              <w:left w:val="double" w:sz="4" w:space="0" w:color="auto"/>
              <w:bottom w:val="single" w:sz="8" w:space="0" w:color="auto"/>
              <w:right w:val="single" w:sz="4" w:space="0" w:color="auto"/>
            </w:tcBorders>
            <w:shd w:val="clear" w:color="000000" w:fill="F2F2F2"/>
            <w:vAlign w:val="center"/>
            <w:hideMark/>
          </w:tcPr>
          <w:p w14:paraId="1703E89D"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19</w:t>
            </w:r>
          </w:p>
        </w:tc>
        <w:tc>
          <w:tcPr>
            <w:tcW w:w="916" w:type="dxa"/>
            <w:tcBorders>
              <w:top w:val="nil"/>
              <w:left w:val="nil"/>
              <w:bottom w:val="single" w:sz="8" w:space="0" w:color="auto"/>
              <w:right w:val="single" w:sz="4" w:space="0" w:color="auto"/>
            </w:tcBorders>
            <w:shd w:val="clear" w:color="000000" w:fill="F2F2F2"/>
            <w:vAlign w:val="center"/>
            <w:hideMark/>
          </w:tcPr>
          <w:p w14:paraId="0BFF876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2007</w:t>
            </w:r>
          </w:p>
        </w:tc>
        <w:tc>
          <w:tcPr>
            <w:tcW w:w="916" w:type="dxa"/>
            <w:tcBorders>
              <w:top w:val="nil"/>
              <w:left w:val="nil"/>
              <w:bottom w:val="single" w:sz="8" w:space="0" w:color="auto"/>
              <w:right w:val="single" w:sz="8" w:space="0" w:color="auto"/>
            </w:tcBorders>
            <w:shd w:val="clear" w:color="000000" w:fill="F2F2F2"/>
            <w:vAlign w:val="center"/>
            <w:hideMark/>
          </w:tcPr>
          <w:p w14:paraId="64F984DB"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0.9%</w:t>
            </w:r>
          </w:p>
        </w:tc>
        <w:tc>
          <w:tcPr>
            <w:tcW w:w="916" w:type="dxa"/>
            <w:tcBorders>
              <w:top w:val="nil"/>
              <w:left w:val="nil"/>
              <w:bottom w:val="single" w:sz="4" w:space="0" w:color="auto"/>
              <w:right w:val="single" w:sz="4" w:space="0" w:color="auto"/>
            </w:tcBorders>
            <w:shd w:val="clear" w:color="000000" w:fill="F2F2F2"/>
            <w:vAlign w:val="center"/>
            <w:hideMark/>
          </w:tcPr>
          <w:p w14:paraId="536A9F9F"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112</w:t>
            </w:r>
          </w:p>
        </w:tc>
        <w:tc>
          <w:tcPr>
            <w:tcW w:w="916" w:type="dxa"/>
            <w:tcBorders>
              <w:top w:val="nil"/>
              <w:left w:val="nil"/>
              <w:bottom w:val="single" w:sz="4" w:space="0" w:color="auto"/>
              <w:right w:val="single" w:sz="4" w:space="0" w:color="auto"/>
            </w:tcBorders>
            <w:shd w:val="clear" w:color="000000" w:fill="F2F2F2"/>
            <w:vAlign w:val="center"/>
            <w:hideMark/>
          </w:tcPr>
          <w:p w14:paraId="3C7A7D57"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8155</w:t>
            </w:r>
          </w:p>
        </w:tc>
        <w:tc>
          <w:tcPr>
            <w:tcW w:w="916" w:type="dxa"/>
            <w:tcBorders>
              <w:top w:val="nil"/>
              <w:left w:val="nil"/>
              <w:bottom w:val="single" w:sz="4" w:space="0" w:color="auto"/>
              <w:right w:val="single" w:sz="4" w:space="0" w:color="auto"/>
            </w:tcBorders>
            <w:shd w:val="clear" w:color="000000" w:fill="F2F2F2"/>
            <w:vAlign w:val="center"/>
            <w:hideMark/>
          </w:tcPr>
          <w:p w14:paraId="42273FA2" w14:textId="77777777" w:rsidR="0016672C" w:rsidRPr="006C519F" w:rsidRDefault="0016672C" w:rsidP="00ED6A6E">
            <w:pPr>
              <w:jc w:val="center"/>
              <w:rPr>
                <w:rFonts w:ascii="Calibri" w:eastAsia="Times New Roman" w:hAnsi="Calibri" w:cs="Calibri"/>
              </w:rPr>
            </w:pPr>
            <w:r w:rsidRPr="006C519F">
              <w:rPr>
                <w:rFonts w:ascii="Calibri" w:eastAsia="Times New Roman" w:hAnsi="Calibri" w:cs="Calibri"/>
              </w:rPr>
              <w:t>1.4%</w:t>
            </w:r>
          </w:p>
        </w:tc>
      </w:tr>
    </w:tbl>
    <w:p w14:paraId="387C430F" w14:textId="6857046A" w:rsidR="007E5090" w:rsidRPr="00347F41" w:rsidRDefault="007E5090" w:rsidP="00E664BC">
      <w:pPr>
        <w:spacing w:before="240"/>
        <w:rPr>
          <w:rFonts w:eastAsia="MS Mincho" w:cs="Calibri"/>
          <w:b/>
          <w:color w:val="000000"/>
        </w:rPr>
      </w:pPr>
      <w:r>
        <w:rPr>
          <w:rFonts w:eastAsia="MS Mincho" w:cs="Calibri"/>
          <w:b/>
          <w:color w:val="000000"/>
        </w:rPr>
        <w:t>Ensuring Excellent Educators</w:t>
      </w:r>
    </w:p>
    <w:p w14:paraId="12256C2C" w14:textId="2F94CF0F" w:rsidR="007E5090" w:rsidRDefault="007E5090" w:rsidP="00424E73">
      <w:pPr>
        <w:rPr>
          <w:rFonts w:ascii="Calibri" w:eastAsia="MS Mincho" w:hAnsi="Calibri" w:cs="Calibri"/>
          <w:color w:val="000000"/>
          <w:szCs w:val="24"/>
        </w:rPr>
      </w:pPr>
      <w:r w:rsidRPr="00B42FAA">
        <w:rPr>
          <w:rFonts w:eastAsia="MS Mincho" w:cs="Calibri"/>
          <w:color w:val="000000"/>
        </w:rPr>
        <w:t xml:space="preserve">Notably, this year, DEED launched the </w:t>
      </w:r>
      <w:hyperlink r:id="rId60" w:history="1">
        <w:r w:rsidRPr="001C329F">
          <w:rPr>
            <w:rStyle w:val="Hyperlink"/>
            <w:rFonts w:eastAsia="MS Mincho" w:cs="Calibri"/>
            <w:i/>
          </w:rPr>
          <w:t>Alaska</w:t>
        </w:r>
        <w:r>
          <w:rPr>
            <w:rStyle w:val="Hyperlink"/>
            <w:rFonts w:eastAsia="MS Mincho" w:cs="Calibri"/>
            <w:i/>
          </w:rPr>
          <w:t>’s</w:t>
        </w:r>
        <w:r w:rsidRPr="001C329F">
          <w:rPr>
            <w:rStyle w:val="Hyperlink"/>
            <w:rFonts w:eastAsia="MS Mincho" w:cs="Calibri"/>
            <w:i/>
          </w:rPr>
          <w:t xml:space="preserve"> Education Challenge</w:t>
        </w:r>
      </w:hyperlink>
      <w:r w:rsidR="00E664BC">
        <w:rPr>
          <w:rStyle w:val="Hyperlink"/>
          <w:rFonts w:eastAsia="MS Mincho" w:cs="Calibri"/>
          <w:i/>
        </w:rPr>
        <w:t xml:space="preserve"> </w:t>
      </w:r>
      <w:r w:rsidR="00E664BC" w:rsidRPr="00E664BC">
        <w:rPr>
          <w:rStyle w:val="Hyperlink"/>
          <w:rFonts w:eastAsia="MS Mincho" w:cs="Calibri"/>
          <w:color w:val="auto"/>
          <w:u w:val="none"/>
        </w:rPr>
        <w:t>(</w:t>
      </w:r>
      <w:r w:rsidR="00E664BC" w:rsidRPr="00E664BC">
        <w:t>education.alaska.gov/</w:t>
      </w:r>
      <w:proofErr w:type="spellStart"/>
      <w:r w:rsidR="00E664BC" w:rsidRPr="00E664BC">
        <w:t>akedchallenge</w:t>
      </w:r>
      <w:proofErr w:type="spellEnd"/>
      <w:r w:rsidR="00E664BC">
        <w:t>)</w:t>
      </w:r>
      <w:r w:rsidR="00E664BC">
        <w:rPr>
          <w:rFonts w:eastAsia="MS Mincho" w:cs="Calibri"/>
          <w:color w:val="000000"/>
        </w:rPr>
        <w:t xml:space="preserve"> </w:t>
      </w:r>
      <w:r w:rsidRPr="00E37DE3">
        <w:rPr>
          <w:rFonts w:ascii="Calibri" w:eastAsia="MS Mincho" w:hAnsi="Calibri" w:cs="Calibri"/>
          <w:color w:val="000000"/>
          <w:szCs w:val="24"/>
        </w:rPr>
        <w:t xml:space="preserve">to address </w:t>
      </w:r>
      <w:r>
        <w:rPr>
          <w:rFonts w:ascii="Calibri" w:eastAsia="MS Mincho" w:hAnsi="Calibri" w:cs="Calibri"/>
          <w:color w:val="000000"/>
          <w:szCs w:val="24"/>
        </w:rPr>
        <w:t>Alaska’s</w:t>
      </w:r>
      <w:r w:rsidRPr="00E37DE3">
        <w:rPr>
          <w:rFonts w:ascii="Calibri" w:eastAsia="MS Mincho" w:hAnsi="Calibri" w:cs="Calibri"/>
          <w:color w:val="000000"/>
          <w:szCs w:val="24"/>
        </w:rPr>
        <w:t xml:space="preserve"> student achievement gaps and increase graduation rates by making sure that every student across </w:t>
      </w:r>
      <w:r>
        <w:rPr>
          <w:rFonts w:ascii="Calibri" w:eastAsia="MS Mincho" w:hAnsi="Calibri" w:cs="Calibri"/>
          <w:color w:val="000000"/>
          <w:szCs w:val="24"/>
        </w:rPr>
        <w:t xml:space="preserve">the </w:t>
      </w:r>
      <w:r w:rsidRPr="00E37DE3">
        <w:rPr>
          <w:rFonts w:ascii="Calibri" w:eastAsia="MS Mincho" w:hAnsi="Calibri" w:cs="Calibri"/>
          <w:color w:val="000000"/>
          <w:szCs w:val="24"/>
        </w:rPr>
        <w:t xml:space="preserve">state has </w:t>
      </w:r>
      <w:r>
        <w:rPr>
          <w:rFonts w:ascii="Calibri" w:eastAsia="MS Mincho" w:hAnsi="Calibri" w:cs="Calibri"/>
          <w:color w:val="000000"/>
          <w:szCs w:val="24"/>
        </w:rPr>
        <w:t xml:space="preserve">an </w:t>
      </w:r>
      <w:r w:rsidRPr="00E37DE3">
        <w:rPr>
          <w:rFonts w:ascii="Calibri" w:eastAsia="MS Mincho" w:hAnsi="Calibri" w:cs="Calibri"/>
          <w:color w:val="000000"/>
          <w:szCs w:val="24"/>
        </w:rPr>
        <w:t>equal opportuni</w:t>
      </w:r>
      <w:r>
        <w:rPr>
          <w:rFonts w:ascii="Calibri" w:eastAsia="MS Mincho" w:hAnsi="Calibri" w:cs="Calibri"/>
          <w:color w:val="000000"/>
          <w:szCs w:val="24"/>
        </w:rPr>
        <w:t>ty</w:t>
      </w:r>
      <w:r w:rsidRPr="00E37DE3">
        <w:rPr>
          <w:rFonts w:ascii="Calibri" w:eastAsia="MS Mincho" w:hAnsi="Calibri" w:cs="Calibri"/>
          <w:color w:val="000000"/>
          <w:szCs w:val="24"/>
        </w:rPr>
        <w:t xml:space="preserve"> to learn and succeed. Through a process of gathering public input, the State Board of Education </w:t>
      </w:r>
      <w:r>
        <w:rPr>
          <w:rFonts w:ascii="Calibri" w:eastAsia="MS Mincho" w:hAnsi="Calibri" w:cs="Calibri"/>
          <w:color w:val="000000"/>
          <w:szCs w:val="24"/>
        </w:rPr>
        <w:t xml:space="preserve">and Early Development </w:t>
      </w:r>
      <w:r w:rsidRPr="00E37DE3">
        <w:rPr>
          <w:rFonts w:ascii="Calibri" w:eastAsia="MS Mincho" w:hAnsi="Calibri" w:cs="Calibri"/>
          <w:color w:val="000000"/>
          <w:szCs w:val="24"/>
        </w:rPr>
        <w:t xml:space="preserve">has already identified five priorities for Alaska’s public education system: </w:t>
      </w:r>
      <w:r>
        <w:rPr>
          <w:rFonts w:ascii="Calibri" w:eastAsia="MS Mincho" w:hAnsi="Calibri" w:cs="Calibri"/>
          <w:color w:val="000000"/>
          <w:szCs w:val="24"/>
        </w:rPr>
        <w:t>Amplify</w:t>
      </w:r>
      <w:r w:rsidRPr="00E37DE3">
        <w:rPr>
          <w:rFonts w:ascii="Calibri" w:eastAsia="MS Mincho" w:hAnsi="Calibri" w:cs="Calibri"/>
          <w:color w:val="000000"/>
          <w:szCs w:val="24"/>
        </w:rPr>
        <w:t xml:space="preserve"> Student Learning, Ensure Excellent Educators, Modernize the Education System, Inspire Tribal and Community Ownership</w:t>
      </w:r>
      <w:r>
        <w:rPr>
          <w:rFonts w:ascii="Calibri" w:eastAsia="MS Mincho" w:hAnsi="Calibri" w:cs="Calibri"/>
          <w:color w:val="000000"/>
          <w:szCs w:val="24"/>
        </w:rPr>
        <w:t xml:space="preserve"> of Educational Excellence</w:t>
      </w:r>
      <w:r w:rsidRPr="00E37DE3">
        <w:rPr>
          <w:rFonts w:ascii="Calibri" w:eastAsia="MS Mincho" w:hAnsi="Calibri" w:cs="Calibri"/>
          <w:color w:val="000000"/>
          <w:szCs w:val="24"/>
        </w:rPr>
        <w:t>, and Promote Safety and Well-</w:t>
      </w:r>
      <w:r>
        <w:rPr>
          <w:rFonts w:ascii="Calibri" w:eastAsia="MS Mincho" w:hAnsi="Calibri" w:cs="Calibri"/>
          <w:color w:val="000000"/>
          <w:szCs w:val="24"/>
        </w:rPr>
        <w:t>B</w:t>
      </w:r>
      <w:r w:rsidRPr="00E37DE3">
        <w:rPr>
          <w:rFonts w:ascii="Calibri" w:eastAsia="MS Mincho" w:hAnsi="Calibri" w:cs="Calibri"/>
          <w:color w:val="000000"/>
          <w:szCs w:val="24"/>
        </w:rPr>
        <w:t xml:space="preserve">eing.  </w:t>
      </w:r>
    </w:p>
    <w:p w14:paraId="413598FD" w14:textId="77777777" w:rsidR="007E5090" w:rsidRDefault="007E5090" w:rsidP="00424E73">
      <w:pPr>
        <w:rPr>
          <w:rFonts w:ascii="Calibri" w:eastAsia="MS Mincho" w:hAnsi="Calibri" w:cs="Calibri"/>
          <w:color w:val="000000"/>
          <w:szCs w:val="24"/>
        </w:rPr>
      </w:pPr>
      <w:r>
        <w:rPr>
          <w:rFonts w:ascii="Calibri" w:eastAsia="MS Mincho" w:hAnsi="Calibri" w:cs="Calibri"/>
          <w:color w:val="000000"/>
          <w:szCs w:val="24"/>
        </w:rPr>
        <w:t>Ensuring excellent educators is critical both as an impact on student learning, but more importantly on success in meeting Alaska’s mission and vision for public education.</w:t>
      </w:r>
    </w:p>
    <w:p w14:paraId="403B01E5" w14:textId="77777777" w:rsidR="007E5090" w:rsidRDefault="007E5090" w:rsidP="00424E73">
      <w:pPr>
        <w:rPr>
          <w:rFonts w:ascii="Calibri" w:eastAsia="MS Mincho" w:hAnsi="Calibri" w:cs="Calibri"/>
          <w:color w:val="000000"/>
          <w:szCs w:val="24"/>
        </w:rPr>
      </w:pPr>
      <w:r>
        <w:rPr>
          <w:rFonts w:ascii="Calibri" w:eastAsia="MS Mincho" w:hAnsi="Calibri" w:cs="Calibri"/>
          <w:color w:val="000000"/>
          <w:szCs w:val="24"/>
        </w:rPr>
        <w:lastRenderedPageBreak/>
        <w:tab/>
        <w:t>Mission: An excellent education for every student every day.</w:t>
      </w:r>
    </w:p>
    <w:p w14:paraId="32C47BD1" w14:textId="77777777" w:rsidR="007E5090" w:rsidRPr="00347F41" w:rsidRDefault="007E5090" w:rsidP="00347F41">
      <w:pPr>
        <w:ind w:left="720"/>
        <w:rPr>
          <w:rFonts w:ascii="Calibri" w:eastAsia="MS Mincho" w:hAnsi="Calibri" w:cs="Calibri"/>
          <w:color w:val="000000"/>
          <w:szCs w:val="24"/>
        </w:rPr>
      </w:pPr>
      <w:r w:rsidRPr="00347F41">
        <w:rPr>
          <w:rFonts w:ascii="Calibri" w:eastAsia="MS Mincho" w:hAnsi="Calibri" w:cs="Calibri"/>
          <w:color w:val="000000"/>
          <w:szCs w:val="24"/>
        </w:rPr>
        <w:t>Vision: All students can succeed in their education and work; shape worthwhile and satisfying lives for themselves; exemplify the best values of society; and, be effective in improving the character and quality of the world about them.</w:t>
      </w:r>
    </w:p>
    <w:p w14:paraId="12F76B07" w14:textId="77777777" w:rsidR="005060F5" w:rsidRDefault="005060F5">
      <w:r>
        <w:br w:type="page"/>
      </w:r>
    </w:p>
    <w:p w14:paraId="1F592CB1" w14:textId="77777777" w:rsidR="00E664BC" w:rsidRDefault="00BA4A8C" w:rsidP="00E664BC">
      <w:pPr>
        <w:pStyle w:val="Heading2"/>
        <w:numPr>
          <w:ilvl w:val="0"/>
          <w:numId w:val="87"/>
        </w:numPr>
      </w:pPr>
      <w:r w:rsidRPr="00F72EC2">
        <w:lastRenderedPageBreak/>
        <w:t>School Conditions</w:t>
      </w:r>
    </w:p>
    <w:p w14:paraId="5F6A0D0E" w14:textId="453BB9F1" w:rsidR="00BA4A8C" w:rsidRPr="000100FA" w:rsidRDefault="00BA4A8C" w:rsidP="000100FA">
      <w:pPr>
        <w:spacing w:after="0"/>
        <w:ind w:firstLine="360"/>
        <w:rPr>
          <w:rStyle w:val="SubtleEmphasis"/>
        </w:rPr>
      </w:pPr>
      <w:r w:rsidRPr="000100FA">
        <w:rPr>
          <w:rStyle w:val="SubtleEmphasis"/>
        </w:rPr>
        <w:t>(ESEA section 1111(g</w:t>
      </w:r>
      <w:proofErr w:type="gramStart"/>
      <w:r w:rsidRPr="000100FA">
        <w:rPr>
          <w:rStyle w:val="SubtleEmphasis"/>
        </w:rPr>
        <w:t>)(</w:t>
      </w:r>
      <w:proofErr w:type="gramEnd"/>
      <w:r w:rsidRPr="000100FA">
        <w:rPr>
          <w:rStyle w:val="SubtleEmphasis"/>
        </w:rPr>
        <w:t xml:space="preserve">1)(C)): </w:t>
      </w:r>
    </w:p>
    <w:p w14:paraId="0283BAFD" w14:textId="77777777" w:rsidR="00BA4A8C" w:rsidRPr="00697AC2" w:rsidRDefault="00BA4A8C" w:rsidP="000100FA">
      <w:pPr>
        <w:ind w:left="360"/>
      </w:pPr>
      <w:r w:rsidRPr="00697AC2">
        <w:t xml:space="preserve">Describe how the SEA will support LEAs receiving assistance under Title I, Part A to improve school conditions for student learning, including through reducing: (i) incidences of bullying and harassment; (ii) the overuse of discipline practices that remove students from the classroom; and (iii) the use of aversive behavioral interventions that compromise student health and safety. </w:t>
      </w:r>
    </w:p>
    <w:p w14:paraId="0140A6FC" w14:textId="77777777" w:rsidR="00BA4A8C" w:rsidRDefault="00BA4A8C" w:rsidP="000100FA">
      <w:pPr>
        <w:ind w:left="360"/>
      </w:pPr>
      <w:r>
        <w:t xml:space="preserve">DEED supports districts in improving school conditions for student learning specifically in these areas as described below. DEED also supports positive behavioral interventions and supports and school climate evidence-based programs through the school improvement planning process. </w:t>
      </w:r>
    </w:p>
    <w:p w14:paraId="0BDB97A8" w14:textId="4571FE5C" w:rsidR="00BA4A8C" w:rsidRPr="00987DC8" w:rsidRDefault="00BA4A8C" w:rsidP="00987DC8">
      <w:pPr>
        <w:numPr>
          <w:ilvl w:val="0"/>
          <w:numId w:val="49"/>
        </w:numPr>
        <w:autoSpaceDE w:val="0"/>
        <w:autoSpaceDN w:val="0"/>
        <w:adjustRightInd w:val="0"/>
        <w:spacing w:after="240"/>
        <w:ind w:hanging="360"/>
        <w:contextualSpacing/>
        <w:rPr>
          <w:rFonts w:ascii="Calibri" w:eastAsia="MS Mincho" w:hAnsi="Calibri" w:cs="Calibri"/>
          <w:color w:val="000000"/>
        </w:rPr>
      </w:pPr>
      <w:r w:rsidRPr="00BB3359">
        <w:rPr>
          <w:rFonts w:ascii="Calibri" w:eastAsia="MS Mincho" w:hAnsi="Calibri" w:cs="Calibri"/>
          <w:b/>
          <w:color w:val="000000"/>
        </w:rPr>
        <w:t xml:space="preserve">Incidences of bullying and harassment: </w:t>
      </w:r>
    </w:p>
    <w:p w14:paraId="4137E943" w14:textId="77777777" w:rsidR="00987DC8" w:rsidRPr="00987DC8" w:rsidRDefault="00987DC8" w:rsidP="00987DC8">
      <w:pPr>
        <w:autoSpaceDE w:val="0"/>
        <w:autoSpaceDN w:val="0"/>
        <w:adjustRightInd w:val="0"/>
        <w:spacing w:after="240"/>
        <w:contextualSpacing/>
        <w:rPr>
          <w:rFonts w:ascii="Calibri" w:eastAsia="MS Mincho" w:hAnsi="Calibri" w:cs="Calibri"/>
          <w:color w:val="000000"/>
          <w:sz w:val="12"/>
          <w:szCs w:val="12"/>
        </w:rPr>
      </w:pPr>
    </w:p>
    <w:p w14:paraId="2E08ABD6" w14:textId="77777777" w:rsidR="00BA4A8C" w:rsidRPr="00B74BBA" w:rsidRDefault="00BA4A8C" w:rsidP="000100FA">
      <w:pPr>
        <w:ind w:left="720"/>
      </w:pPr>
      <w:r w:rsidRPr="00C23776">
        <w:t xml:space="preserve">DEED assists </w:t>
      </w:r>
      <w:r>
        <w:t>district</w:t>
      </w:r>
      <w:r w:rsidRPr="00C23776">
        <w:t>s in their efforts to reduce bullying, harassment, and intimidation by providing districts with technical assistance on Alaska’s laws that promote positive school climate and address school discipline</w:t>
      </w:r>
      <w:r>
        <w:t>;</w:t>
      </w:r>
      <w:r w:rsidRPr="00C23776">
        <w:t xml:space="preserve"> throug</w:t>
      </w:r>
      <w:r>
        <w:t>h data collection and analysis;</w:t>
      </w:r>
      <w:r w:rsidRPr="00C23776">
        <w:t xml:space="preserve"> </w:t>
      </w:r>
      <w:r>
        <w:t xml:space="preserve">by providing </w:t>
      </w:r>
      <w:r w:rsidRPr="00C23776">
        <w:t>training</w:t>
      </w:r>
      <w:r>
        <w:t>;</w:t>
      </w:r>
      <w:r w:rsidRPr="00C23776">
        <w:t xml:space="preserve"> and</w:t>
      </w:r>
      <w:r>
        <w:t xml:space="preserve"> through</w:t>
      </w:r>
      <w:r w:rsidRPr="00C23776">
        <w:t xml:space="preserve"> support of the implementation of evidence-based programs and s</w:t>
      </w:r>
      <w:r>
        <w:t>trategies that reduce bullying.</w:t>
      </w:r>
    </w:p>
    <w:p w14:paraId="1DB4F4E5" w14:textId="77777777" w:rsidR="00BA4A8C" w:rsidRPr="00C23776" w:rsidRDefault="00BA4A8C" w:rsidP="007363B0">
      <w:pPr>
        <w:autoSpaceDE w:val="0"/>
        <w:autoSpaceDN w:val="0"/>
        <w:adjustRightInd w:val="0"/>
        <w:rPr>
          <w:rFonts w:ascii="Calibri" w:eastAsia="MS Mincho" w:hAnsi="Calibri" w:cs="Calibri"/>
          <w:b/>
          <w:color w:val="000000"/>
          <w:szCs w:val="24"/>
        </w:rPr>
      </w:pPr>
      <w:r w:rsidRPr="00C23776">
        <w:rPr>
          <w:rFonts w:ascii="Calibri" w:eastAsia="MS Mincho" w:hAnsi="Calibri" w:cs="Calibri"/>
          <w:b/>
          <w:color w:val="000000"/>
          <w:szCs w:val="24"/>
        </w:rPr>
        <w:t xml:space="preserve">Statutes: </w:t>
      </w:r>
    </w:p>
    <w:p w14:paraId="4223B43E" w14:textId="77777777" w:rsidR="00BA4A8C" w:rsidRPr="00C23776" w:rsidRDefault="00BA4A8C" w:rsidP="007363B0">
      <w:pPr>
        <w:autoSpaceDE w:val="0"/>
        <w:autoSpaceDN w:val="0"/>
        <w:adjustRightInd w:val="0"/>
        <w:rPr>
          <w:rFonts w:ascii="Calibri" w:eastAsia="MS Mincho" w:hAnsi="Calibri" w:cs="Calibri"/>
          <w:color w:val="000000"/>
          <w:szCs w:val="24"/>
        </w:rPr>
      </w:pPr>
      <w:r w:rsidRPr="00C23776">
        <w:rPr>
          <w:rFonts w:ascii="Calibri" w:eastAsia="MS Mincho" w:hAnsi="Calibri" w:cs="Calibri"/>
          <w:color w:val="000000"/>
          <w:szCs w:val="24"/>
        </w:rPr>
        <w:t xml:space="preserve">Alaska has a collection of complementary laws that explicitly prohibit the harassment, intimidation, and bullying of any student on school premises or on school transportation systems.  </w:t>
      </w:r>
    </w:p>
    <w:p w14:paraId="6EC695CF" w14:textId="77777777" w:rsidR="00BA4A8C" w:rsidRPr="00C23776" w:rsidRDefault="00BA4A8C" w:rsidP="006641B6">
      <w:pPr>
        <w:numPr>
          <w:ilvl w:val="0"/>
          <w:numId w:val="44"/>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 xml:space="preserve">AS 14.33.200 requires Alaska districts to have written policies on how they will promote positive character traits and address bullying when it occurs. </w:t>
      </w:r>
    </w:p>
    <w:p w14:paraId="536E2248" w14:textId="77777777" w:rsidR="00BA4A8C" w:rsidRPr="00C23776" w:rsidRDefault="00BA4A8C" w:rsidP="006641B6">
      <w:pPr>
        <w:numPr>
          <w:ilvl w:val="0"/>
          <w:numId w:val="44"/>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 xml:space="preserve">AS 14.33.210 requires school personnel, volunteers, and students to report all suspected bullying to school officials.  </w:t>
      </w:r>
    </w:p>
    <w:p w14:paraId="4325F634" w14:textId="77777777" w:rsidR="00BA4A8C" w:rsidRPr="00C23776" w:rsidRDefault="00BA4A8C" w:rsidP="006641B6">
      <w:pPr>
        <w:numPr>
          <w:ilvl w:val="0"/>
          <w:numId w:val="44"/>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AS 14.33.230 protects reporters of school-based bullying, harassment</w:t>
      </w:r>
      <w:r>
        <w:rPr>
          <w:rFonts w:ascii="Calibri" w:eastAsia="MS Mincho" w:hAnsi="Calibri" w:cs="Calibri"/>
          <w:color w:val="000000"/>
          <w:szCs w:val="24"/>
        </w:rPr>
        <w:t>,</w:t>
      </w:r>
      <w:r w:rsidRPr="00C23776">
        <w:rPr>
          <w:rFonts w:ascii="Calibri" w:eastAsia="MS Mincho" w:hAnsi="Calibri" w:cs="Calibri"/>
          <w:color w:val="000000"/>
          <w:szCs w:val="24"/>
        </w:rPr>
        <w:t xml:space="preserve"> and intimidation from reprisals</w:t>
      </w:r>
      <w:r>
        <w:rPr>
          <w:rFonts w:ascii="Calibri" w:eastAsia="MS Mincho" w:hAnsi="Calibri" w:cs="Calibri"/>
          <w:color w:val="000000"/>
          <w:szCs w:val="24"/>
        </w:rPr>
        <w:t>.</w:t>
      </w:r>
    </w:p>
    <w:p w14:paraId="2262FEC3" w14:textId="4C93C1F0" w:rsidR="00BA4A8C" w:rsidRDefault="00BA4A8C" w:rsidP="006641B6">
      <w:pPr>
        <w:numPr>
          <w:ilvl w:val="0"/>
          <w:numId w:val="44"/>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AS 14.33.230 protects reporters of school-based bullying, harassment</w:t>
      </w:r>
      <w:r>
        <w:rPr>
          <w:rFonts w:ascii="Calibri" w:eastAsia="MS Mincho" w:hAnsi="Calibri" w:cs="Calibri"/>
          <w:color w:val="000000"/>
          <w:szCs w:val="24"/>
        </w:rPr>
        <w:t>,</w:t>
      </w:r>
      <w:r w:rsidRPr="00C23776">
        <w:rPr>
          <w:rFonts w:ascii="Calibri" w:eastAsia="MS Mincho" w:hAnsi="Calibri" w:cs="Calibri"/>
          <w:color w:val="000000"/>
          <w:szCs w:val="24"/>
        </w:rPr>
        <w:t xml:space="preserve"> and intimidation from suit.</w:t>
      </w:r>
    </w:p>
    <w:p w14:paraId="5B840135" w14:textId="77777777" w:rsidR="00987DC8" w:rsidRPr="00987DC8" w:rsidRDefault="00987DC8" w:rsidP="00987DC8">
      <w:pPr>
        <w:autoSpaceDE w:val="0"/>
        <w:autoSpaceDN w:val="0"/>
        <w:adjustRightInd w:val="0"/>
        <w:contextualSpacing/>
        <w:rPr>
          <w:rFonts w:ascii="Calibri" w:eastAsia="MS Mincho" w:hAnsi="Calibri" w:cs="Calibri"/>
          <w:color w:val="000000"/>
          <w:sz w:val="12"/>
          <w:szCs w:val="12"/>
        </w:rPr>
      </w:pPr>
    </w:p>
    <w:p w14:paraId="4A86D47E" w14:textId="77777777" w:rsidR="00BA4A8C" w:rsidRPr="00C23776" w:rsidRDefault="00BA4A8C" w:rsidP="007363B0">
      <w:pPr>
        <w:autoSpaceDE w:val="0"/>
        <w:autoSpaceDN w:val="0"/>
        <w:adjustRightInd w:val="0"/>
        <w:rPr>
          <w:rFonts w:ascii="Calibri" w:eastAsia="MS Mincho" w:hAnsi="Calibri" w:cs="Calibri"/>
          <w:b/>
          <w:color w:val="000000"/>
          <w:szCs w:val="24"/>
        </w:rPr>
      </w:pPr>
      <w:r w:rsidRPr="00C23776">
        <w:rPr>
          <w:rFonts w:ascii="Calibri" w:eastAsia="MS Mincho" w:hAnsi="Calibri" w:cs="Calibri"/>
          <w:b/>
          <w:color w:val="000000"/>
          <w:szCs w:val="24"/>
        </w:rPr>
        <w:t>Data Collection and Analysis</w:t>
      </w:r>
    </w:p>
    <w:p w14:paraId="3192C682" w14:textId="77777777" w:rsidR="00BA4A8C" w:rsidRPr="00DE4A1B" w:rsidRDefault="00BA4A8C" w:rsidP="006641B6">
      <w:pPr>
        <w:numPr>
          <w:ilvl w:val="0"/>
          <w:numId w:val="45"/>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Youth Risk Behavior Survey</w:t>
      </w:r>
      <w:r>
        <w:rPr>
          <w:rFonts w:ascii="Calibri" w:eastAsia="MS Mincho" w:hAnsi="Calibri" w:cs="Calibri"/>
          <w:color w:val="000000"/>
          <w:szCs w:val="24"/>
        </w:rPr>
        <w:t xml:space="preserve"> – </w:t>
      </w:r>
      <w:r w:rsidRPr="00DE4A1B">
        <w:rPr>
          <w:rFonts w:ascii="Calibri" w:eastAsia="MS Mincho" w:hAnsi="Calibri" w:cs="Calibri"/>
          <w:color w:val="000000"/>
          <w:szCs w:val="24"/>
        </w:rPr>
        <w:t xml:space="preserve">DEED partners with the </w:t>
      </w:r>
      <w:r>
        <w:rPr>
          <w:rFonts w:ascii="Calibri" w:eastAsia="MS Mincho" w:hAnsi="Calibri" w:cs="Calibri"/>
          <w:color w:val="000000"/>
          <w:szCs w:val="24"/>
        </w:rPr>
        <w:t xml:space="preserve">Alaska </w:t>
      </w:r>
      <w:r w:rsidRPr="00DE4A1B">
        <w:rPr>
          <w:rFonts w:ascii="Calibri" w:eastAsia="MS Mincho" w:hAnsi="Calibri" w:cs="Calibri"/>
          <w:color w:val="000000"/>
          <w:szCs w:val="24"/>
        </w:rPr>
        <w:t>Department of Health and Social Services to administer and report out on this Center for Disease Control (CDC) survey that includes bullying and school climate measures.</w:t>
      </w:r>
    </w:p>
    <w:p w14:paraId="66D62FCF" w14:textId="7AEB4852" w:rsidR="00BA4A8C" w:rsidRDefault="00BA4A8C" w:rsidP="006641B6">
      <w:pPr>
        <w:numPr>
          <w:ilvl w:val="0"/>
          <w:numId w:val="45"/>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 collects and reports out on suspensions and expulsions for bullying, harassment, and intimidation annually</w:t>
      </w:r>
      <w:r>
        <w:rPr>
          <w:rFonts w:ascii="Calibri" w:eastAsia="MS Mincho" w:hAnsi="Calibri" w:cs="Calibri"/>
          <w:color w:val="000000"/>
          <w:szCs w:val="24"/>
        </w:rPr>
        <w:t>.</w:t>
      </w:r>
    </w:p>
    <w:p w14:paraId="2F425FC9" w14:textId="77777777" w:rsidR="00987DC8" w:rsidRPr="00987DC8" w:rsidRDefault="00987DC8" w:rsidP="00987DC8">
      <w:pPr>
        <w:autoSpaceDE w:val="0"/>
        <w:autoSpaceDN w:val="0"/>
        <w:adjustRightInd w:val="0"/>
        <w:contextualSpacing/>
        <w:rPr>
          <w:rFonts w:ascii="Calibri" w:eastAsia="MS Mincho" w:hAnsi="Calibri" w:cs="Calibri"/>
          <w:color w:val="000000"/>
          <w:sz w:val="12"/>
          <w:szCs w:val="12"/>
        </w:rPr>
      </w:pPr>
    </w:p>
    <w:p w14:paraId="6D917452" w14:textId="77777777" w:rsidR="00BA4A8C" w:rsidRPr="00C23776" w:rsidRDefault="00BA4A8C" w:rsidP="007363B0">
      <w:pPr>
        <w:autoSpaceDE w:val="0"/>
        <w:autoSpaceDN w:val="0"/>
        <w:adjustRightInd w:val="0"/>
        <w:rPr>
          <w:rFonts w:ascii="Calibri" w:eastAsia="MS Mincho" w:hAnsi="Calibri" w:cs="Calibri"/>
          <w:color w:val="000000"/>
          <w:szCs w:val="24"/>
        </w:rPr>
      </w:pPr>
      <w:r w:rsidRPr="00C23776">
        <w:rPr>
          <w:rFonts w:ascii="Calibri" w:eastAsia="MS Mincho" w:hAnsi="Calibri" w:cs="Calibri"/>
          <w:b/>
          <w:color w:val="000000"/>
          <w:szCs w:val="24"/>
        </w:rPr>
        <w:t>Training/Technical Assistance</w:t>
      </w:r>
    </w:p>
    <w:p w14:paraId="00284ED3" w14:textId="77777777" w:rsidR="00BA4A8C" w:rsidRPr="00C23776" w:rsidRDefault="00BA4A8C" w:rsidP="006641B6">
      <w:pPr>
        <w:numPr>
          <w:ilvl w:val="0"/>
          <w:numId w:val="46"/>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 delivers distance</w:t>
      </w:r>
      <w:r>
        <w:rPr>
          <w:rFonts w:ascii="Calibri" w:eastAsia="MS Mincho" w:hAnsi="Calibri" w:cs="Calibri"/>
          <w:color w:val="000000"/>
          <w:szCs w:val="24"/>
        </w:rPr>
        <w:t>-</w:t>
      </w:r>
      <w:r w:rsidRPr="00C23776">
        <w:rPr>
          <w:rFonts w:ascii="Calibri" w:eastAsia="MS Mincho" w:hAnsi="Calibri" w:cs="Calibri"/>
          <w:color w:val="000000"/>
          <w:szCs w:val="24"/>
        </w:rPr>
        <w:t xml:space="preserve">delivered training </w:t>
      </w:r>
      <w:r>
        <w:rPr>
          <w:rFonts w:ascii="Calibri" w:eastAsia="MS Mincho" w:hAnsi="Calibri" w:cs="Calibri"/>
          <w:color w:val="000000"/>
          <w:szCs w:val="24"/>
        </w:rPr>
        <w:t xml:space="preserve">through eLearning modules </w:t>
      </w:r>
      <w:r w:rsidRPr="00C23776">
        <w:rPr>
          <w:rFonts w:ascii="Calibri" w:eastAsia="MS Mincho" w:hAnsi="Calibri" w:cs="Calibri"/>
          <w:color w:val="000000"/>
          <w:szCs w:val="24"/>
        </w:rPr>
        <w:t>to thousands of district personnel annually on bullyin</w:t>
      </w:r>
      <w:r>
        <w:rPr>
          <w:rFonts w:ascii="Calibri" w:eastAsia="MS Mincho" w:hAnsi="Calibri" w:cs="Calibri"/>
          <w:color w:val="000000"/>
          <w:szCs w:val="24"/>
        </w:rPr>
        <w:t>g, harassment, and intimidation. These modules have been created</w:t>
      </w:r>
      <w:r w:rsidRPr="00C23776">
        <w:rPr>
          <w:rFonts w:ascii="Calibri" w:eastAsia="MS Mincho" w:hAnsi="Calibri" w:cs="Calibri"/>
          <w:color w:val="000000"/>
          <w:szCs w:val="24"/>
        </w:rPr>
        <w:t xml:space="preserve"> in partnership with the Western Educational Equity Assistance Center within the Metropolitan State University of Denver.</w:t>
      </w:r>
      <w:r>
        <w:rPr>
          <w:rFonts w:ascii="Calibri" w:eastAsia="MS Mincho" w:hAnsi="Calibri" w:cs="Calibri"/>
          <w:color w:val="000000"/>
          <w:szCs w:val="24"/>
        </w:rPr>
        <w:t xml:space="preserve"> They have been provided at no-charge and are available to all educators in the state. There are currently over 18,500 users and the number is growing.</w:t>
      </w:r>
    </w:p>
    <w:p w14:paraId="2564B0D2" w14:textId="77777777" w:rsidR="00BA4A8C" w:rsidRPr="00C23776" w:rsidRDefault="00BA4A8C" w:rsidP="006641B6">
      <w:pPr>
        <w:numPr>
          <w:ilvl w:val="0"/>
          <w:numId w:val="46"/>
        </w:numPr>
        <w:autoSpaceDE w:val="0"/>
        <w:autoSpaceDN w:val="0"/>
        <w:adjustRightInd w:val="0"/>
        <w:contextualSpacing/>
        <w:rPr>
          <w:rFonts w:ascii="Calibri" w:eastAsia="MS Mincho" w:hAnsi="Calibri" w:cs="Calibri"/>
          <w:color w:val="000000"/>
          <w:szCs w:val="24"/>
        </w:rPr>
      </w:pPr>
      <w:r>
        <w:rPr>
          <w:rFonts w:ascii="Calibri" w:eastAsia="MS Mincho" w:hAnsi="Calibri" w:cs="Calibri"/>
          <w:color w:val="000000"/>
          <w:szCs w:val="24"/>
        </w:rPr>
        <w:lastRenderedPageBreak/>
        <w:t>In addition to eLearning, e</w:t>
      </w:r>
      <w:r w:rsidRPr="00C23776">
        <w:rPr>
          <w:rFonts w:ascii="Calibri" w:eastAsia="MS Mincho" w:hAnsi="Calibri" w:cs="Calibri"/>
          <w:color w:val="000000"/>
          <w:szCs w:val="24"/>
        </w:rPr>
        <w:t>xamples of evidence-based programs, activities, and trainings DEED supports are:</w:t>
      </w:r>
    </w:p>
    <w:p w14:paraId="22E03CA9"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proofErr w:type="spellStart"/>
      <w:r w:rsidRPr="00C23776">
        <w:rPr>
          <w:rFonts w:ascii="Calibri" w:eastAsia="MS Mincho" w:hAnsi="Calibri" w:cs="Calibri"/>
          <w:color w:val="000000"/>
          <w:szCs w:val="24"/>
        </w:rPr>
        <w:t>Schoolwide</w:t>
      </w:r>
      <w:proofErr w:type="spellEnd"/>
      <w:r w:rsidRPr="00C23776">
        <w:rPr>
          <w:rFonts w:ascii="Calibri" w:eastAsia="MS Mincho" w:hAnsi="Calibri" w:cs="Calibri"/>
          <w:color w:val="000000"/>
          <w:szCs w:val="24"/>
        </w:rPr>
        <w:t xml:space="preserve"> Positive Behavioral Supports </w:t>
      </w:r>
    </w:p>
    <w:p w14:paraId="0F83F57E"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Fourth R</w:t>
      </w:r>
    </w:p>
    <w:p w14:paraId="546D8AEF"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Mentoring Programs like Big Brothers/Big Sisters</w:t>
      </w:r>
    </w:p>
    <w:p w14:paraId="0977DA74"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Restorative Justice</w:t>
      </w:r>
    </w:p>
    <w:p w14:paraId="56044FA2"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Sources of Strength</w:t>
      </w:r>
    </w:p>
    <w:p w14:paraId="7E6FDC3B"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Suicide Prevention Program</w:t>
      </w:r>
    </w:p>
    <w:p w14:paraId="2460B03B"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Project AWARE, Alternative School Initiative</w:t>
      </w:r>
    </w:p>
    <w:p w14:paraId="2C559762" w14:textId="77777777" w:rsidR="00BA4A8C" w:rsidRPr="00E37DE3"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Youth Mental Health First Aid</w:t>
      </w:r>
      <w:r>
        <w:rPr>
          <w:rFonts w:ascii="Calibri" w:eastAsia="MS Mincho" w:hAnsi="Calibri" w:cs="Calibri"/>
          <w:color w:val="000000"/>
          <w:szCs w:val="24"/>
        </w:rPr>
        <w:t xml:space="preserve"> </w:t>
      </w:r>
      <w:r w:rsidRPr="00E37DE3">
        <w:rPr>
          <w:rFonts w:ascii="Calibri" w:eastAsia="MS Mincho" w:hAnsi="Calibri" w:cs="Calibri"/>
          <w:color w:val="000000"/>
          <w:szCs w:val="24"/>
        </w:rPr>
        <w:t>Mental Health Assessment and Referral</w:t>
      </w:r>
    </w:p>
    <w:p w14:paraId="6A9D5D2C"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Crisis Response, de-escalation training for staff</w:t>
      </w:r>
    </w:p>
    <w:p w14:paraId="320C4145" w14:textId="77777777" w:rsidR="00BA4A8C" w:rsidRPr="00C23776" w:rsidRDefault="00BA4A8C" w:rsidP="006641B6">
      <w:pPr>
        <w:numPr>
          <w:ilvl w:val="0"/>
          <w:numId w:val="69"/>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Suicide Prevention Gatekeeper training</w:t>
      </w:r>
    </w:p>
    <w:p w14:paraId="36F11624" w14:textId="316DD6CD" w:rsidR="00BA4A8C" w:rsidRPr="005017F4" w:rsidRDefault="00BA4A8C" w:rsidP="00080D72">
      <w:pPr>
        <w:numPr>
          <w:ilvl w:val="0"/>
          <w:numId w:val="69"/>
        </w:numPr>
        <w:autoSpaceDE w:val="0"/>
        <w:autoSpaceDN w:val="0"/>
        <w:adjustRightInd w:val="0"/>
        <w:contextualSpacing/>
        <w:rPr>
          <w:rFonts w:ascii="Calibri" w:eastAsia="MS Mincho" w:hAnsi="Calibri" w:cs="Calibri"/>
          <w:b/>
          <w:color w:val="000000"/>
          <w:sz w:val="24"/>
          <w:szCs w:val="24"/>
        </w:rPr>
      </w:pPr>
      <w:r w:rsidRPr="005017F4">
        <w:rPr>
          <w:rFonts w:ascii="Calibri" w:eastAsia="MS Mincho" w:hAnsi="Calibri" w:cs="Calibri"/>
          <w:color w:val="000000"/>
          <w:szCs w:val="24"/>
        </w:rPr>
        <w:t>Alaska Safe Children’s Act training</w:t>
      </w:r>
    </w:p>
    <w:p w14:paraId="5DD63F14" w14:textId="77777777" w:rsidR="005017F4" w:rsidRPr="005017F4" w:rsidRDefault="005017F4" w:rsidP="005017F4">
      <w:pPr>
        <w:autoSpaceDE w:val="0"/>
        <w:autoSpaceDN w:val="0"/>
        <w:adjustRightInd w:val="0"/>
        <w:ind w:left="1495"/>
        <w:contextualSpacing/>
        <w:rPr>
          <w:rFonts w:ascii="Calibri" w:eastAsia="MS Mincho" w:hAnsi="Calibri" w:cs="Calibri"/>
          <w:b/>
          <w:color w:val="000000"/>
          <w:sz w:val="24"/>
          <w:szCs w:val="24"/>
        </w:rPr>
      </w:pPr>
    </w:p>
    <w:p w14:paraId="59EB2B28" w14:textId="63ECF836" w:rsidR="00BA4A8C" w:rsidRDefault="00BA4A8C" w:rsidP="00987DC8">
      <w:pPr>
        <w:numPr>
          <w:ilvl w:val="0"/>
          <w:numId w:val="49"/>
        </w:numPr>
        <w:autoSpaceDE w:val="0"/>
        <w:autoSpaceDN w:val="0"/>
        <w:adjustRightInd w:val="0"/>
        <w:ind w:hanging="360"/>
        <w:contextualSpacing/>
        <w:rPr>
          <w:rFonts w:ascii="Calibri" w:eastAsia="MS Mincho" w:hAnsi="Calibri" w:cs="Calibri"/>
          <w:b/>
          <w:color w:val="000000"/>
        </w:rPr>
      </w:pPr>
      <w:r w:rsidRPr="00BB3359">
        <w:rPr>
          <w:rFonts w:ascii="Calibri" w:eastAsia="MS Mincho" w:hAnsi="Calibri" w:cs="Calibri"/>
          <w:b/>
          <w:color w:val="000000"/>
        </w:rPr>
        <w:t>The overuse of discipline practices that remove students from the classroom:</w:t>
      </w:r>
    </w:p>
    <w:p w14:paraId="14FB0FAE" w14:textId="77777777" w:rsidR="00987DC8" w:rsidRPr="00987DC8" w:rsidRDefault="00987DC8" w:rsidP="00987DC8">
      <w:pPr>
        <w:autoSpaceDE w:val="0"/>
        <w:autoSpaceDN w:val="0"/>
        <w:adjustRightInd w:val="0"/>
        <w:contextualSpacing/>
        <w:rPr>
          <w:rFonts w:ascii="Calibri" w:eastAsia="MS Mincho" w:hAnsi="Calibri" w:cs="Calibri"/>
          <w:b/>
          <w:color w:val="000000"/>
          <w:sz w:val="12"/>
          <w:szCs w:val="12"/>
        </w:rPr>
      </w:pPr>
    </w:p>
    <w:p w14:paraId="0EA5D84D" w14:textId="77777777" w:rsidR="00BA4A8C" w:rsidRPr="00C23776" w:rsidRDefault="00BA4A8C" w:rsidP="00987DC8">
      <w:r w:rsidRPr="00C23776">
        <w:t xml:space="preserve">DEED continues to expand its efforts to support districts in reducing their utilization of discipline actions that remove students from the classroom through technical assistance on germane </w:t>
      </w:r>
      <w:r>
        <w:t>S</w:t>
      </w:r>
      <w:r w:rsidRPr="00C23776">
        <w:t>tate laws, data collection and analysis, and through technical assistance and training on a host of relevant topics.</w:t>
      </w:r>
    </w:p>
    <w:p w14:paraId="0B67C423" w14:textId="77777777" w:rsidR="00BA4A8C" w:rsidRPr="00C23776" w:rsidRDefault="00BA4A8C" w:rsidP="007363B0">
      <w:pPr>
        <w:autoSpaceDE w:val="0"/>
        <w:autoSpaceDN w:val="0"/>
        <w:adjustRightInd w:val="0"/>
        <w:rPr>
          <w:rFonts w:ascii="Calibri" w:eastAsia="MS Mincho" w:hAnsi="Calibri" w:cs="Calibri"/>
          <w:b/>
          <w:color w:val="000000"/>
          <w:szCs w:val="24"/>
        </w:rPr>
      </w:pPr>
      <w:r>
        <w:rPr>
          <w:rFonts w:ascii="Calibri" w:eastAsia="MS Mincho" w:hAnsi="Calibri" w:cs="Calibri"/>
          <w:b/>
          <w:color w:val="000000"/>
          <w:szCs w:val="24"/>
        </w:rPr>
        <w:t xml:space="preserve">Statutes: </w:t>
      </w:r>
    </w:p>
    <w:p w14:paraId="26DC351A" w14:textId="77777777" w:rsidR="00BA4A8C" w:rsidRPr="00C23776" w:rsidRDefault="00BA4A8C" w:rsidP="006641B6">
      <w:pPr>
        <w:numPr>
          <w:ilvl w:val="0"/>
          <w:numId w:val="48"/>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 xml:space="preserve">AS 14.33.120 requires all </w:t>
      </w:r>
      <w:r>
        <w:rPr>
          <w:rFonts w:ascii="Calibri" w:eastAsia="MS Mincho" w:hAnsi="Calibri" w:cs="Calibri"/>
          <w:color w:val="000000"/>
          <w:szCs w:val="24"/>
        </w:rPr>
        <w:t>district</w:t>
      </w:r>
      <w:r w:rsidRPr="00C23776">
        <w:rPr>
          <w:rFonts w:ascii="Calibri" w:eastAsia="MS Mincho" w:hAnsi="Calibri" w:cs="Calibri"/>
          <w:color w:val="000000"/>
          <w:szCs w:val="24"/>
        </w:rPr>
        <w:t>s to have (and regularly update) written school disciplinary and safety programs that were created through collaboration of both school and community stakeholders to ensure the programs reflect community values and norms. These disciplinary and safety policies must include standards for:</w:t>
      </w:r>
    </w:p>
    <w:p w14:paraId="68EDFDBC" w14:textId="77777777" w:rsidR="00BA4A8C" w:rsidRPr="00C23776" w:rsidRDefault="00BA4A8C" w:rsidP="006641B6">
      <w:pPr>
        <w:numPr>
          <w:ilvl w:val="0"/>
          <w:numId w:val="70"/>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honesty and respect within schools</w:t>
      </w:r>
    </w:p>
    <w:p w14:paraId="0D2C0698" w14:textId="77777777" w:rsidR="00BA4A8C" w:rsidRPr="00C23776" w:rsidRDefault="00BA4A8C" w:rsidP="006641B6">
      <w:pPr>
        <w:numPr>
          <w:ilvl w:val="0"/>
          <w:numId w:val="70"/>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behavioral expectations</w:t>
      </w:r>
    </w:p>
    <w:p w14:paraId="6D059AE8" w14:textId="77777777" w:rsidR="00BA4A8C" w:rsidRPr="00C23776" w:rsidRDefault="00BA4A8C" w:rsidP="006641B6">
      <w:pPr>
        <w:numPr>
          <w:ilvl w:val="0"/>
          <w:numId w:val="70"/>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consequences for misbehavior</w:t>
      </w:r>
    </w:p>
    <w:p w14:paraId="0B149E23" w14:textId="77777777" w:rsidR="00BA4A8C" w:rsidRPr="00C23776" w:rsidRDefault="00BA4A8C" w:rsidP="006641B6">
      <w:pPr>
        <w:numPr>
          <w:ilvl w:val="0"/>
          <w:numId w:val="70"/>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policies for student conflict resolution strategies</w:t>
      </w:r>
    </w:p>
    <w:p w14:paraId="31034EE7" w14:textId="77777777" w:rsidR="00BA4A8C" w:rsidRPr="00C23776" w:rsidRDefault="00BA4A8C" w:rsidP="006641B6">
      <w:pPr>
        <w:numPr>
          <w:ilvl w:val="0"/>
          <w:numId w:val="70"/>
        </w:numPr>
        <w:autoSpaceDE w:val="0"/>
        <w:autoSpaceDN w:val="0"/>
        <w:adjustRightInd w:val="0"/>
        <w:contextualSpacing/>
        <w:rPr>
          <w:rFonts w:ascii="Calibri" w:eastAsia="MS Mincho" w:hAnsi="Calibri" w:cs="Calibri"/>
          <w:color w:val="000000"/>
          <w:szCs w:val="24"/>
        </w:rPr>
      </w:pPr>
      <w:r>
        <w:rPr>
          <w:rFonts w:ascii="Calibri" w:eastAsia="MS Mincho" w:hAnsi="Calibri" w:cs="Calibri"/>
          <w:color w:val="000000"/>
          <w:szCs w:val="24"/>
        </w:rPr>
        <w:t>e</w:t>
      </w:r>
      <w:r w:rsidRPr="00C23776">
        <w:rPr>
          <w:rFonts w:ascii="Calibri" w:eastAsia="MS Mincho" w:hAnsi="Calibri" w:cs="Calibri"/>
          <w:color w:val="000000"/>
          <w:szCs w:val="24"/>
        </w:rPr>
        <w:t>stablished discipline and safety programs address</w:t>
      </w:r>
      <w:r>
        <w:rPr>
          <w:rFonts w:ascii="Calibri" w:eastAsia="MS Mincho" w:hAnsi="Calibri" w:cs="Calibri"/>
          <w:color w:val="000000"/>
          <w:szCs w:val="24"/>
        </w:rPr>
        <w:t>ing</w:t>
      </w:r>
      <w:r w:rsidRPr="00C23776">
        <w:rPr>
          <w:rFonts w:ascii="Calibri" w:eastAsia="MS Mincho" w:hAnsi="Calibri" w:cs="Calibri"/>
          <w:color w:val="000000"/>
          <w:szCs w:val="24"/>
        </w:rPr>
        <w:t xml:space="preserve"> bullying, discipline practices, and behavioral interventions with students</w:t>
      </w:r>
    </w:p>
    <w:p w14:paraId="449C5680" w14:textId="77777777" w:rsidR="00987DC8" w:rsidRPr="00987DC8" w:rsidRDefault="00987DC8" w:rsidP="00987DC8">
      <w:pPr>
        <w:autoSpaceDE w:val="0"/>
        <w:autoSpaceDN w:val="0"/>
        <w:adjustRightInd w:val="0"/>
        <w:spacing w:after="0"/>
        <w:rPr>
          <w:rFonts w:ascii="Calibri" w:eastAsia="MS Mincho" w:hAnsi="Calibri" w:cs="Calibri"/>
          <w:b/>
          <w:color w:val="000000"/>
          <w:sz w:val="12"/>
          <w:szCs w:val="12"/>
        </w:rPr>
      </w:pPr>
    </w:p>
    <w:p w14:paraId="2104ADE8" w14:textId="16E404E4" w:rsidR="00BA4A8C" w:rsidRPr="00C23776" w:rsidRDefault="00BA4A8C" w:rsidP="00987DC8">
      <w:pPr>
        <w:autoSpaceDE w:val="0"/>
        <w:autoSpaceDN w:val="0"/>
        <w:adjustRightInd w:val="0"/>
        <w:rPr>
          <w:rFonts w:ascii="Calibri" w:eastAsia="MS Mincho" w:hAnsi="Calibri" w:cs="Calibri"/>
          <w:b/>
          <w:color w:val="000000"/>
          <w:szCs w:val="24"/>
        </w:rPr>
      </w:pPr>
      <w:r w:rsidRPr="00C23776">
        <w:rPr>
          <w:rFonts w:ascii="Calibri" w:eastAsia="MS Mincho" w:hAnsi="Calibri" w:cs="Calibri"/>
          <w:b/>
          <w:color w:val="000000"/>
          <w:szCs w:val="24"/>
        </w:rPr>
        <w:t>Data Collection and Analysis:</w:t>
      </w:r>
    </w:p>
    <w:p w14:paraId="4B90636A" w14:textId="77777777" w:rsidR="00BA4A8C" w:rsidRPr="00C23776" w:rsidRDefault="00BA4A8C" w:rsidP="006641B6">
      <w:pPr>
        <w:numPr>
          <w:ilvl w:val="0"/>
          <w:numId w:val="47"/>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 recently constructed a new statewide discipline data collection system that captures data on all school suspensions and expulsions. The benefits are:</w:t>
      </w:r>
    </w:p>
    <w:p w14:paraId="7D42B3F1" w14:textId="77777777" w:rsidR="00BA4A8C" w:rsidRPr="00C23776" w:rsidRDefault="00BA4A8C" w:rsidP="006641B6">
      <w:pPr>
        <w:numPr>
          <w:ilvl w:val="0"/>
          <w:numId w:val="71"/>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Improved data fidelity</w:t>
      </w:r>
    </w:p>
    <w:p w14:paraId="02FE2DF9" w14:textId="77777777" w:rsidR="00BA4A8C" w:rsidRPr="00C23776" w:rsidRDefault="00BA4A8C" w:rsidP="006641B6">
      <w:pPr>
        <w:numPr>
          <w:ilvl w:val="0"/>
          <w:numId w:val="71"/>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 xml:space="preserve">Greater ease for the </w:t>
      </w:r>
      <w:r>
        <w:rPr>
          <w:rFonts w:ascii="Calibri" w:eastAsia="MS Mincho" w:hAnsi="Calibri" w:cs="Calibri"/>
          <w:color w:val="000000"/>
          <w:szCs w:val="24"/>
        </w:rPr>
        <w:t>S</w:t>
      </w:r>
      <w:r w:rsidRPr="00C23776">
        <w:rPr>
          <w:rFonts w:ascii="Calibri" w:eastAsia="MS Mincho" w:hAnsi="Calibri" w:cs="Calibri"/>
          <w:color w:val="000000"/>
          <w:szCs w:val="24"/>
        </w:rPr>
        <w:t xml:space="preserve">tate and districts to organize and analyze disciplinary data </w:t>
      </w:r>
    </w:p>
    <w:p w14:paraId="6C366207" w14:textId="77777777" w:rsidR="00BA4A8C" w:rsidRPr="00C23776" w:rsidRDefault="00BA4A8C" w:rsidP="006641B6">
      <w:pPr>
        <w:numPr>
          <w:ilvl w:val="0"/>
          <w:numId w:val="71"/>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 xml:space="preserve">Improved </w:t>
      </w:r>
      <w:r>
        <w:rPr>
          <w:rFonts w:ascii="Calibri" w:eastAsia="MS Mincho" w:hAnsi="Calibri" w:cs="Calibri"/>
          <w:color w:val="000000"/>
          <w:szCs w:val="24"/>
        </w:rPr>
        <w:t>district</w:t>
      </w:r>
      <w:r w:rsidRPr="00C23776">
        <w:rPr>
          <w:rFonts w:ascii="Calibri" w:eastAsia="MS Mincho" w:hAnsi="Calibri" w:cs="Calibri"/>
          <w:color w:val="000000"/>
          <w:szCs w:val="24"/>
        </w:rPr>
        <w:t xml:space="preserve"> ability to unpack the data and better hypothecate underlying student needs that drive student behaviors resulting in suspension or expulsion </w:t>
      </w:r>
    </w:p>
    <w:p w14:paraId="3B252F2B" w14:textId="3F11B69D" w:rsidR="00BA4A8C" w:rsidRPr="00987DC8" w:rsidRDefault="00BA4A8C" w:rsidP="00BB3359">
      <w:pPr>
        <w:numPr>
          <w:ilvl w:val="0"/>
          <w:numId w:val="71"/>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Data can be examined to determine if disproportionality in discipline is occurring in any student subpopulations.</w:t>
      </w:r>
    </w:p>
    <w:p w14:paraId="32D26BEC" w14:textId="77777777" w:rsidR="00987DC8" w:rsidRDefault="00987DC8">
      <w:pPr>
        <w:spacing w:after="160"/>
        <w:rPr>
          <w:rFonts w:ascii="Calibri" w:eastAsia="MS Mincho" w:hAnsi="Calibri" w:cs="Calibri"/>
          <w:b/>
          <w:color w:val="000000"/>
          <w:szCs w:val="24"/>
        </w:rPr>
      </w:pPr>
      <w:r>
        <w:rPr>
          <w:rFonts w:ascii="Calibri" w:eastAsia="MS Mincho" w:hAnsi="Calibri" w:cs="Calibri"/>
          <w:b/>
          <w:color w:val="000000"/>
          <w:szCs w:val="24"/>
        </w:rPr>
        <w:br w:type="page"/>
      </w:r>
    </w:p>
    <w:p w14:paraId="1C8F6A4D" w14:textId="60B72FE6" w:rsidR="00BA4A8C" w:rsidRDefault="00BA4A8C" w:rsidP="00987DC8">
      <w:pPr>
        <w:autoSpaceDE w:val="0"/>
        <w:autoSpaceDN w:val="0"/>
        <w:adjustRightInd w:val="0"/>
        <w:contextualSpacing/>
        <w:rPr>
          <w:rFonts w:ascii="Calibri" w:eastAsia="MS Mincho" w:hAnsi="Calibri" w:cs="Calibri"/>
          <w:b/>
          <w:color w:val="000000"/>
          <w:szCs w:val="24"/>
        </w:rPr>
      </w:pPr>
      <w:r w:rsidRPr="00C23776">
        <w:rPr>
          <w:rFonts w:ascii="Calibri" w:eastAsia="MS Mincho" w:hAnsi="Calibri" w:cs="Calibri"/>
          <w:b/>
          <w:color w:val="000000"/>
          <w:szCs w:val="24"/>
        </w:rPr>
        <w:lastRenderedPageBreak/>
        <w:t>Training/Technical Assistance:</w:t>
      </w:r>
    </w:p>
    <w:p w14:paraId="72A2303F" w14:textId="584EDA8D" w:rsidR="00BA4A8C" w:rsidRPr="00987DC8" w:rsidRDefault="00BA4A8C" w:rsidP="00987DC8">
      <w:pPr>
        <w:numPr>
          <w:ilvl w:val="0"/>
          <w:numId w:val="47"/>
        </w:numPr>
        <w:autoSpaceDE w:val="0"/>
        <w:autoSpaceDN w:val="0"/>
        <w:adjustRightInd w:val="0"/>
        <w:spacing w:before="120"/>
        <w:contextualSpacing/>
        <w:rPr>
          <w:rFonts w:ascii="Calibri" w:eastAsia="MS Mincho" w:hAnsi="Calibri" w:cs="Calibri"/>
          <w:color w:val="000000"/>
          <w:szCs w:val="24"/>
        </w:rPr>
      </w:pPr>
      <w:r w:rsidRPr="00987DC8">
        <w:rPr>
          <w:rFonts w:ascii="Calibri" w:eastAsia="MS Mincho" w:hAnsi="Calibri" w:cs="Calibri"/>
          <w:color w:val="000000"/>
          <w:szCs w:val="24"/>
        </w:rPr>
        <w:t>DEED cosponsors with the Department of Health and Social Service an annual statewide School Health and Wellness Institute that delivers information/training on positive school climate, school safety, classroom management, and prosocial evidence-based school programs.</w:t>
      </w:r>
    </w:p>
    <w:p w14:paraId="5321C3F1" w14:textId="77777777" w:rsidR="00BA4A8C" w:rsidRPr="00C23776" w:rsidRDefault="00BA4A8C" w:rsidP="006641B6">
      <w:pPr>
        <w:numPr>
          <w:ilvl w:val="0"/>
          <w:numId w:val="47"/>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 delivers training to thousands of educators annually on Gender and Race Equity</w:t>
      </w:r>
      <w:r>
        <w:rPr>
          <w:rFonts w:ascii="Calibri" w:eastAsia="MS Mincho" w:hAnsi="Calibri" w:cs="Calibri"/>
          <w:color w:val="000000"/>
          <w:szCs w:val="24"/>
        </w:rPr>
        <w:t>.</w:t>
      </w:r>
      <w:r w:rsidRPr="00C23776">
        <w:rPr>
          <w:rFonts w:ascii="Calibri" w:eastAsia="MS Mincho" w:hAnsi="Calibri" w:cs="Calibri"/>
          <w:color w:val="000000"/>
          <w:szCs w:val="24"/>
        </w:rPr>
        <w:t xml:space="preserve"> </w:t>
      </w:r>
    </w:p>
    <w:p w14:paraId="5166D37C" w14:textId="77777777" w:rsidR="00BA4A8C" w:rsidRPr="00C23776" w:rsidRDefault="00BA4A8C" w:rsidP="006641B6">
      <w:pPr>
        <w:numPr>
          <w:ilvl w:val="0"/>
          <w:numId w:val="47"/>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DEED’s Mandated Reporting of Child Abuse and Neglect course includes information on Adverse Childhood Experiences and Trauma Aware Schools</w:t>
      </w:r>
      <w:r>
        <w:rPr>
          <w:rFonts w:ascii="Calibri" w:eastAsia="MS Mincho" w:hAnsi="Calibri" w:cs="Calibri"/>
          <w:color w:val="000000"/>
          <w:szCs w:val="24"/>
        </w:rPr>
        <w:t>.</w:t>
      </w:r>
    </w:p>
    <w:p w14:paraId="70CC1B34" w14:textId="77777777" w:rsidR="00BA4A8C" w:rsidRPr="00C23776" w:rsidRDefault="00BA4A8C" w:rsidP="006641B6">
      <w:pPr>
        <w:numPr>
          <w:ilvl w:val="0"/>
          <w:numId w:val="47"/>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DEED is finalizing content for a more in-depth Trauma Sensitive Schools training. The Trauma Sensitive Schools model, with its focus on building educator understanding that students’ challenging behaviors are often the expression of trauma and grief, is fostering a reduction in the removal of students from classrooms for disciplinary issues in schools that utilize trauma informed policies, practices, and strategies</w:t>
      </w:r>
      <w:r>
        <w:rPr>
          <w:rFonts w:ascii="Calibri" w:eastAsia="MS Mincho" w:hAnsi="Calibri" w:cs="Calibri"/>
          <w:color w:val="000000"/>
          <w:szCs w:val="24"/>
        </w:rPr>
        <w:t>.</w:t>
      </w:r>
    </w:p>
    <w:p w14:paraId="613C8DF4" w14:textId="7ED36910" w:rsidR="00BA4A8C" w:rsidRDefault="00BA4A8C" w:rsidP="00987DC8">
      <w:pPr>
        <w:numPr>
          <w:ilvl w:val="0"/>
          <w:numId w:val="46"/>
        </w:numPr>
        <w:autoSpaceDE w:val="0"/>
        <w:autoSpaceDN w:val="0"/>
        <w:adjustRightInd w:val="0"/>
        <w:contextualSpacing/>
        <w:rPr>
          <w:rFonts w:ascii="Calibri" w:eastAsia="MS Mincho" w:hAnsi="Calibri" w:cs="Calibri"/>
          <w:color w:val="000000"/>
          <w:szCs w:val="24"/>
        </w:rPr>
      </w:pPr>
      <w:r w:rsidRPr="00C23776">
        <w:rPr>
          <w:rFonts w:ascii="Calibri" w:eastAsia="MS Mincho" w:hAnsi="Calibri" w:cs="Calibri"/>
          <w:color w:val="000000"/>
          <w:szCs w:val="24"/>
        </w:rPr>
        <w:t>Examples of evidence-based programs, activities, and trainings DEED supports listed above to address bullying also support decreased student removal from the classroom for discipline</w:t>
      </w:r>
      <w:r>
        <w:rPr>
          <w:rFonts w:ascii="Calibri" w:eastAsia="MS Mincho" w:hAnsi="Calibri" w:cs="Calibri"/>
          <w:color w:val="000000"/>
          <w:szCs w:val="24"/>
        </w:rPr>
        <w:t>.</w:t>
      </w:r>
    </w:p>
    <w:p w14:paraId="0F727D15" w14:textId="77777777" w:rsidR="00987DC8" w:rsidRPr="00987DC8" w:rsidRDefault="00987DC8" w:rsidP="00987DC8">
      <w:pPr>
        <w:autoSpaceDE w:val="0"/>
        <w:autoSpaceDN w:val="0"/>
        <w:adjustRightInd w:val="0"/>
        <w:contextualSpacing/>
        <w:rPr>
          <w:rFonts w:ascii="Calibri" w:eastAsia="MS Mincho" w:hAnsi="Calibri" w:cs="Calibri"/>
          <w:color w:val="000000"/>
          <w:sz w:val="12"/>
          <w:szCs w:val="12"/>
        </w:rPr>
      </w:pPr>
    </w:p>
    <w:p w14:paraId="13891F4E" w14:textId="77777777" w:rsidR="00BA4A8C" w:rsidRPr="00BB3359" w:rsidRDefault="00BA4A8C" w:rsidP="00987DC8">
      <w:pPr>
        <w:numPr>
          <w:ilvl w:val="0"/>
          <w:numId w:val="49"/>
        </w:numPr>
        <w:autoSpaceDE w:val="0"/>
        <w:autoSpaceDN w:val="0"/>
        <w:adjustRightInd w:val="0"/>
        <w:ind w:hanging="360"/>
        <w:contextualSpacing/>
        <w:rPr>
          <w:rFonts w:ascii="Calibri" w:eastAsia="MS Mincho" w:hAnsi="Calibri" w:cs="Calibri"/>
          <w:b/>
          <w:color w:val="000000"/>
        </w:rPr>
      </w:pPr>
      <w:r w:rsidRPr="00BB3359">
        <w:rPr>
          <w:rFonts w:ascii="Calibri" w:eastAsia="MS Mincho" w:hAnsi="Calibri" w:cs="Calibri"/>
          <w:b/>
          <w:color w:val="000000"/>
        </w:rPr>
        <w:t>The use of aversive behavioral interventions that compromise student health and safety:</w:t>
      </w:r>
    </w:p>
    <w:p w14:paraId="0E82A71D" w14:textId="77777777" w:rsidR="00BA4A8C" w:rsidRPr="00987DC8" w:rsidRDefault="00BA4A8C" w:rsidP="007363B0">
      <w:pPr>
        <w:autoSpaceDE w:val="0"/>
        <w:autoSpaceDN w:val="0"/>
        <w:adjustRightInd w:val="0"/>
        <w:ind w:left="1080"/>
        <w:contextualSpacing/>
        <w:rPr>
          <w:rFonts w:ascii="Calibri" w:eastAsia="MS Mincho" w:hAnsi="Calibri" w:cs="Calibri"/>
          <w:color w:val="000000"/>
          <w:sz w:val="12"/>
          <w:szCs w:val="12"/>
        </w:rPr>
      </w:pPr>
    </w:p>
    <w:p w14:paraId="4551CAB8" w14:textId="77777777" w:rsidR="00BA4A8C" w:rsidRPr="00C36DF8" w:rsidRDefault="00BA4A8C" w:rsidP="007363B0">
      <w:pPr>
        <w:autoSpaceDE w:val="0"/>
        <w:autoSpaceDN w:val="0"/>
        <w:adjustRightInd w:val="0"/>
        <w:rPr>
          <w:rFonts w:ascii="Calibri" w:eastAsia="MS Mincho" w:hAnsi="Calibri" w:cs="Calibri"/>
          <w:color w:val="000000"/>
        </w:rPr>
      </w:pPr>
      <w:r w:rsidRPr="00DC7B67">
        <w:rPr>
          <w:rFonts w:ascii="Calibri" w:eastAsia="MS Mincho" w:hAnsi="Calibri" w:cs="Calibri"/>
          <w:color w:val="000000"/>
        </w:rPr>
        <w:t xml:space="preserve">Alaska’s public schools are not allowed to use behavioral interventions that are aversive or compromise students’ health and safety. In 2014, Alaska enacted legislation dramatically limiting the use </w:t>
      </w:r>
      <w:r w:rsidRPr="00CE6692">
        <w:rPr>
          <w:rFonts w:ascii="Calibri" w:eastAsia="MS Mincho" w:hAnsi="Calibri" w:cs="Calibri"/>
          <w:color w:val="000000"/>
        </w:rPr>
        <w:t xml:space="preserve">of student restraint and seclusion in </w:t>
      </w:r>
      <w:r>
        <w:rPr>
          <w:rFonts w:ascii="Calibri" w:eastAsia="MS Mincho" w:hAnsi="Calibri" w:cs="Calibri"/>
          <w:color w:val="000000"/>
        </w:rPr>
        <w:t>Alaska’s</w:t>
      </w:r>
      <w:r w:rsidRPr="00CE6692">
        <w:rPr>
          <w:rFonts w:ascii="Calibri" w:eastAsia="MS Mincho" w:hAnsi="Calibri" w:cs="Calibri"/>
          <w:color w:val="000000"/>
        </w:rPr>
        <w:t xml:space="preserve"> schools. This legislation requires essential safety protocols </w:t>
      </w:r>
      <w:r>
        <w:rPr>
          <w:rFonts w:ascii="Calibri" w:eastAsia="MS Mincho" w:hAnsi="Calibri" w:cs="Calibri"/>
          <w:color w:val="000000"/>
        </w:rPr>
        <w:t xml:space="preserve">to </w:t>
      </w:r>
      <w:r w:rsidRPr="00CE6692">
        <w:rPr>
          <w:rFonts w:ascii="Calibri" w:eastAsia="MS Mincho" w:hAnsi="Calibri" w:cs="Calibri"/>
          <w:color w:val="000000"/>
        </w:rPr>
        <w:t>be in place when these interventions are unavoidable, prohibits the use of chemical and/or mechanical restraints, requires all incidents of restraint or s</w:t>
      </w:r>
      <w:r w:rsidRPr="003103B9">
        <w:rPr>
          <w:rFonts w:ascii="Calibri" w:eastAsia="MS Mincho" w:hAnsi="Calibri" w:cs="Calibri"/>
          <w:color w:val="000000"/>
        </w:rPr>
        <w:t xml:space="preserve">eclusion that do occur to be reported to DEED, and requires a sufficient number of staff from each school to receive periodic training in de-escalation and restraint techniques. </w:t>
      </w:r>
    </w:p>
    <w:p w14:paraId="6DDABDBF" w14:textId="77777777" w:rsidR="00BA4A8C" w:rsidRDefault="00BA4A8C" w:rsidP="007363B0">
      <w:pPr>
        <w:autoSpaceDE w:val="0"/>
        <w:autoSpaceDN w:val="0"/>
        <w:adjustRightInd w:val="0"/>
        <w:rPr>
          <w:rFonts w:ascii="Calibri" w:eastAsia="MS Mincho" w:hAnsi="Calibri" w:cs="Calibri"/>
          <w:color w:val="000000"/>
        </w:rPr>
      </w:pPr>
      <w:r w:rsidRPr="001F77D2">
        <w:rPr>
          <w:rFonts w:ascii="Calibri" w:eastAsia="MS Mincho" w:hAnsi="Calibri" w:cs="Calibri"/>
          <w:color w:val="000000"/>
        </w:rPr>
        <w:t>School staff trained in de-escalation, restraint, and seclusion are also required to be trained in First Aid and CPR. DEED maintains a list of evidence-based trainings for districts to select from that utilize techniques proven to keep students and staff safe</w:t>
      </w:r>
      <w:r>
        <w:rPr>
          <w:rFonts w:ascii="Calibri" w:eastAsia="MS Mincho" w:hAnsi="Calibri" w:cs="Calibri"/>
          <w:color w:val="000000"/>
        </w:rPr>
        <w:t>,</w:t>
      </w:r>
      <w:r w:rsidRPr="00DC7B67">
        <w:rPr>
          <w:rFonts w:ascii="Calibri" w:eastAsia="MS Mincho" w:hAnsi="Calibri" w:cs="Calibri"/>
          <w:color w:val="000000"/>
        </w:rPr>
        <w:t xml:space="preserve"> and delivers ongoing technical assistance to districts regarding training</w:t>
      </w:r>
      <w:r w:rsidRPr="00CE6692">
        <w:rPr>
          <w:rFonts w:ascii="Calibri" w:eastAsia="MS Mincho" w:hAnsi="Calibri" w:cs="Calibri"/>
          <w:color w:val="000000"/>
        </w:rPr>
        <w:t xml:space="preserve"> and reporting requirements.</w:t>
      </w:r>
    </w:p>
    <w:p w14:paraId="66D695C9" w14:textId="61BE091F" w:rsidR="00987DC8" w:rsidRDefault="00BA4A8C" w:rsidP="00987DC8">
      <w:pPr>
        <w:pStyle w:val="Heading2"/>
        <w:numPr>
          <w:ilvl w:val="0"/>
          <w:numId w:val="87"/>
        </w:numPr>
      </w:pPr>
      <w:r w:rsidRPr="00C23776">
        <w:t xml:space="preserve">School Transitions </w:t>
      </w:r>
    </w:p>
    <w:p w14:paraId="669F8BFC" w14:textId="7530A92A" w:rsidR="00BA4A8C" w:rsidRPr="00987DC8" w:rsidRDefault="00BA4A8C" w:rsidP="00987DC8">
      <w:pPr>
        <w:ind w:firstLine="360"/>
        <w:rPr>
          <w:sz w:val="26"/>
          <w:szCs w:val="26"/>
        </w:rPr>
      </w:pPr>
      <w:r w:rsidRPr="00987DC8">
        <w:rPr>
          <w:sz w:val="26"/>
          <w:szCs w:val="26"/>
        </w:rPr>
        <w:t>(ESEA section 1111(g</w:t>
      </w:r>
      <w:proofErr w:type="gramStart"/>
      <w:r w:rsidRPr="00987DC8">
        <w:rPr>
          <w:sz w:val="26"/>
          <w:szCs w:val="26"/>
        </w:rPr>
        <w:t>)(</w:t>
      </w:r>
      <w:proofErr w:type="gramEnd"/>
      <w:r w:rsidRPr="00987DC8">
        <w:rPr>
          <w:sz w:val="26"/>
          <w:szCs w:val="26"/>
        </w:rPr>
        <w:t xml:space="preserve">1)(D)): </w:t>
      </w:r>
    </w:p>
    <w:p w14:paraId="11CA2F45" w14:textId="77777777" w:rsidR="00BA4A8C" w:rsidRPr="00C23776" w:rsidRDefault="00BA4A8C" w:rsidP="00987DC8">
      <w:r w:rsidRPr="00C23776">
        <w:t xml:space="preserve">Describe how the State will support LEAs receiving assistance under Title I, Part A in meeting the needs of students at all levels of schooling (particularly students in the middle grades and high school), including how the State will work with such LEAs to provide effective transitions of students to middle grades and high school to decrease the risk of students dropping out. </w:t>
      </w:r>
    </w:p>
    <w:p w14:paraId="1484330D" w14:textId="77777777" w:rsidR="00BA4A8C" w:rsidRDefault="00BA4A8C" w:rsidP="00987DC8">
      <w:r>
        <w:t xml:space="preserve">DEED’s support for all districts in meeting the needs of all students </w:t>
      </w:r>
      <w:r w:rsidRPr="00C23776">
        <w:t xml:space="preserve">is driven by </w:t>
      </w:r>
      <w:r>
        <w:t>the</w:t>
      </w:r>
      <w:r w:rsidRPr="00C23776">
        <w:t xml:space="preserve"> State Board of Education’s Vision and Mission for public education: to ensure </w:t>
      </w:r>
      <w:r w:rsidRPr="00C23776">
        <w:rPr>
          <w:u w:val="single"/>
        </w:rPr>
        <w:t>all</w:t>
      </w:r>
      <w:r w:rsidRPr="00C23776">
        <w:t xml:space="preserve"> of Alaska’s students have the opportunity to receive an excellent education every day; that </w:t>
      </w:r>
      <w:r w:rsidRPr="00C23776">
        <w:rPr>
          <w:u w:val="single"/>
        </w:rPr>
        <w:t>all</w:t>
      </w:r>
      <w:r w:rsidRPr="00C23776">
        <w:t xml:space="preserve"> students can succeed in their education and work, shape worthwhile and satisfying lives for themselves, exemplify the best values of society, and be effective in improving the character and quality of the world about them.  </w:t>
      </w:r>
      <w:r>
        <w:t>Alaska’s goal is to have</w:t>
      </w:r>
      <w:r w:rsidRPr="00C23776">
        <w:t xml:space="preserve"> a comprehensive, robust educational system that provides all students the opportunity for a well-rounded and equitable education.</w:t>
      </w:r>
    </w:p>
    <w:p w14:paraId="5E0514A1" w14:textId="77777777" w:rsidR="00BA4A8C" w:rsidRDefault="00BA4A8C" w:rsidP="00987DC8">
      <w:r w:rsidRPr="00C23776">
        <w:t xml:space="preserve">DEED’s </w:t>
      </w:r>
      <w:r>
        <w:t xml:space="preserve">support for districts is provided across three divisions of the department: Student Learning, Educator and School Excellence, and Finance and Support Services. Each division provides direct support </w:t>
      </w:r>
      <w:r>
        <w:lastRenderedPageBreak/>
        <w:t>to districts in the specific areas represented by the division. Finance and Support Services provides state funding for schools and for school facilities, and child nutrition services. Student Learning provides support in the areas of standards and assessments, and student support through Title I- A, Title I-C Migrant Education, Title III-A English Learners, Special Education, Homeless Education, Career and Technical Education, 21</w:t>
      </w:r>
      <w:r w:rsidRPr="002F3EB7">
        <w:rPr>
          <w:vertAlign w:val="superscript"/>
        </w:rPr>
        <w:t>st</w:t>
      </w:r>
      <w:r>
        <w:t xml:space="preserve"> Century Learning Centers, and Early Childhood Education.  Educator and School Excellence provides support in the areas of Teacher Certification, Professional Development, Title IV-A Health and Safety, and School Improvement. In addition, a Federal Programs Coordinator, an Education Technology Specialist, and the Data Management team in the commissioner’s office provide support to all divisions.</w:t>
      </w:r>
    </w:p>
    <w:p w14:paraId="7544CD14" w14:textId="77777777" w:rsidR="00BA4A8C" w:rsidRDefault="00BA4A8C" w:rsidP="007363B0">
      <w:pPr>
        <w:rPr>
          <w:rFonts w:ascii="Calibri" w:hAnsi="Calibri"/>
          <w:szCs w:val="24"/>
        </w:rPr>
      </w:pPr>
      <w:r>
        <w:rPr>
          <w:rFonts w:ascii="Calibri" w:hAnsi="Calibri"/>
          <w:szCs w:val="24"/>
        </w:rPr>
        <w:t xml:space="preserve">Much of the support provided to all districts is through resources and guidance posted on the DEED website and through trainings delivered by WebEx or in-person. Significant emphasis over the last few years has been on supporting teachers in teaching to the more rigorous standards in English language arts and mathematics, and on school improvement. </w:t>
      </w:r>
    </w:p>
    <w:p w14:paraId="1E35473A" w14:textId="77777777" w:rsidR="00BA4A8C" w:rsidRDefault="00BA4A8C" w:rsidP="007363B0">
      <w:pPr>
        <w:rPr>
          <w:rFonts w:ascii="Calibri" w:hAnsi="Calibri"/>
          <w:szCs w:val="24"/>
        </w:rPr>
      </w:pPr>
      <w:r>
        <w:rPr>
          <w:rFonts w:ascii="Calibri" w:hAnsi="Calibri"/>
          <w:szCs w:val="24"/>
        </w:rPr>
        <w:t xml:space="preserve">In addition, support is provided to districts through their federal programs applications. Districts apply for funding through on online grants management system, and teams of program staff review and respond to the applications. Through information provided in the applications, and through individual district technical assistance, districts are supported in understanding the ability to use applicable federal funds to support a well-rounded education and the needs of all students as well as support for the students most at risk. The Federal Programs Coordinator will be working with teams across divisions to provide targeted support in areas needed by districts, including early childhood programs and transitions, and other transitions from elementary school to middle school and middle school to high school. </w:t>
      </w:r>
    </w:p>
    <w:p w14:paraId="26D08A95" w14:textId="77777777" w:rsidR="00BA4A8C" w:rsidRPr="00C23776" w:rsidRDefault="00BA4A8C" w:rsidP="007363B0">
      <w:pPr>
        <w:rPr>
          <w:rFonts w:ascii="Calibri" w:hAnsi="Calibri"/>
          <w:szCs w:val="24"/>
        </w:rPr>
      </w:pPr>
      <w:r w:rsidRPr="00C23776">
        <w:rPr>
          <w:rFonts w:ascii="Calibri" w:hAnsi="Calibri"/>
          <w:szCs w:val="24"/>
        </w:rPr>
        <w:t>Beyond these foundational supports, additional levels of assistance for students in middle and high school</w:t>
      </w:r>
      <w:r>
        <w:rPr>
          <w:rFonts w:ascii="Calibri" w:hAnsi="Calibri"/>
          <w:szCs w:val="24"/>
        </w:rPr>
        <w:t>,</w:t>
      </w:r>
      <w:r w:rsidRPr="00C23776">
        <w:rPr>
          <w:rFonts w:ascii="Calibri" w:hAnsi="Calibri"/>
          <w:szCs w:val="24"/>
        </w:rPr>
        <w:t xml:space="preserve"> where the risk of dropping out is greatest</w:t>
      </w:r>
      <w:r>
        <w:rPr>
          <w:rFonts w:ascii="Calibri" w:hAnsi="Calibri"/>
          <w:szCs w:val="24"/>
        </w:rPr>
        <w:t>,</w:t>
      </w:r>
      <w:r w:rsidRPr="00C23776">
        <w:rPr>
          <w:rFonts w:ascii="Calibri" w:hAnsi="Calibri"/>
          <w:szCs w:val="24"/>
        </w:rPr>
        <w:t xml:space="preserve"> are also provided. Examples of these supports are:</w:t>
      </w:r>
    </w:p>
    <w:p w14:paraId="29614016" w14:textId="77777777" w:rsidR="00BA4A8C" w:rsidRPr="00BB3359" w:rsidRDefault="00BA4A8C" w:rsidP="006641B6">
      <w:pPr>
        <w:pStyle w:val="ListParagraph"/>
        <w:numPr>
          <w:ilvl w:val="0"/>
          <w:numId w:val="50"/>
        </w:numPr>
        <w:rPr>
          <w:rFonts w:ascii="Calibri" w:hAnsi="Calibri"/>
          <w:szCs w:val="24"/>
        </w:rPr>
      </w:pPr>
      <w:r w:rsidRPr="00C23776">
        <w:rPr>
          <w:rFonts w:ascii="Calibri" w:hAnsi="Calibri"/>
          <w:szCs w:val="24"/>
        </w:rPr>
        <w:t xml:space="preserve">Alternative Schools: DEED concurrently administers two alternative high school initiatives, which provide innovative mental health supports, </w:t>
      </w:r>
      <w:r>
        <w:rPr>
          <w:rFonts w:ascii="Calibri" w:hAnsi="Calibri"/>
          <w:szCs w:val="24"/>
        </w:rPr>
        <w:t xml:space="preserve">cohesive </w:t>
      </w:r>
      <w:r w:rsidRPr="00C23776">
        <w:rPr>
          <w:rFonts w:ascii="Calibri" w:hAnsi="Calibri"/>
          <w:szCs w:val="24"/>
        </w:rPr>
        <w:t>professional development, additional staffing, and funding for evidence-based curriculum, programs, and activities to the majority of Alaska’s alternative schools. These specialized secondary schools serve thousands of Alaska’s most at-risk students and are an excellent complement to traditional schools.  Alaska’s alternative schools constitute a safety net for students at-risk of dropping out and for students who have dropped out</w:t>
      </w:r>
      <w:r>
        <w:rPr>
          <w:rFonts w:ascii="Calibri" w:hAnsi="Calibri"/>
          <w:szCs w:val="24"/>
        </w:rPr>
        <w:t xml:space="preserve"> – </w:t>
      </w:r>
      <w:r w:rsidRPr="00BB3359">
        <w:rPr>
          <w:rFonts w:ascii="Calibri" w:hAnsi="Calibri"/>
          <w:szCs w:val="24"/>
        </w:rPr>
        <w:t>reconnecting them to their education and the goal of graduation.</w:t>
      </w:r>
    </w:p>
    <w:p w14:paraId="12E44A30" w14:textId="77777777" w:rsidR="00BA4A8C" w:rsidRPr="00C23776" w:rsidRDefault="00BA4A8C" w:rsidP="006641B6">
      <w:pPr>
        <w:pStyle w:val="ListParagraph"/>
        <w:numPr>
          <w:ilvl w:val="0"/>
          <w:numId w:val="50"/>
        </w:numPr>
        <w:rPr>
          <w:rFonts w:ascii="Calibri" w:hAnsi="Calibri"/>
          <w:szCs w:val="24"/>
        </w:rPr>
      </w:pPr>
      <w:r w:rsidRPr="00C23776">
        <w:rPr>
          <w:rFonts w:ascii="Calibri" w:hAnsi="Calibri"/>
          <w:szCs w:val="24"/>
        </w:rPr>
        <w:t xml:space="preserve">Neglected and Delinquent: DEED couples state Youth In Detention funding with its federal Title I Part D Neglected and Delinquent funding to strengthen transitional supports to detained youth. Transition planning must include the following: personal, career, technical, and academic counseling; placement services designed to place the youth in a university, college, or junior college program; information concerning, and assistance in obtaining, available student financial aid; counseling services; and job placement services. Detained students are provided the opportunity to meet the same challenging State Standards as all other </w:t>
      </w:r>
      <w:r>
        <w:rPr>
          <w:rFonts w:ascii="Calibri" w:hAnsi="Calibri"/>
          <w:szCs w:val="24"/>
        </w:rPr>
        <w:t>district</w:t>
      </w:r>
      <w:r w:rsidRPr="00C23776">
        <w:rPr>
          <w:rFonts w:ascii="Calibri" w:hAnsi="Calibri"/>
          <w:szCs w:val="24"/>
        </w:rPr>
        <w:t xml:space="preserve"> student populations.</w:t>
      </w:r>
    </w:p>
    <w:p w14:paraId="101F3465" w14:textId="773CB217" w:rsidR="00987DC8" w:rsidRDefault="00A12A18" w:rsidP="00080D72">
      <w:pPr>
        <w:pStyle w:val="ListParagraph"/>
        <w:numPr>
          <w:ilvl w:val="0"/>
          <w:numId w:val="50"/>
        </w:numPr>
        <w:rPr>
          <w:rFonts w:ascii="Calibri" w:hAnsi="Calibri"/>
        </w:rPr>
      </w:pPr>
      <w:hyperlink r:id="rId61" w:history="1">
        <w:r w:rsidR="00BA4A8C" w:rsidRPr="00C50B56">
          <w:rPr>
            <w:rStyle w:val="Hyperlink"/>
            <w:rFonts w:ascii="Calibri" w:hAnsi="Calibri"/>
          </w:rPr>
          <w:t>Alaska Performance Scholarship</w:t>
        </w:r>
      </w:hyperlink>
      <w:r w:rsidR="00C50B56">
        <w:rPr>
          <w:rFonts w:ascii="Calibri" w:hAnsi="Calibri"/>
        </w:rPr>
        <w:t xml:space="preserve"> </w:t>
      </w:r>
      <w:r w:rsidR="00C50B56" w:rsidRPr="00C50B56">
        <w:rPr>
          <w:rFonts w:ascii="Calibri" w:hAnsi="Calibri"/>
        </w:rPr>
        <w:t>(acpe.alaska.gov</w:t>
      </w:r>
      <w:r w:rsidR="00C50B56" w:rsidRPr="00987DC8">
        <w:rPr>
          <w:rStyle w:val="Hyperlink"/>
          <w:rFonts w:ascii="Calibri" w:hAnsi="Calibri"/>
          <w:color w:val="auto"/>
          <w:u w:val="none"/>
        </w:rPr>
        <w:t>)</w:t>
      </w:r>
      <w:r w:rsidR="00BA4A8C" w:rsidRPr="00C50B56">
        <w:rPr>
          <w:rFonts w:ascii="Calibri" w:hAnsi="Calibri"/>
        </w:rPr>
        <w:t xml:space="preserve">: </w:t>
      </w:r>
      <w:r w:rsidR="00BA4A8C" w:rsidRPr="00987DC8">
        <w:rPr>
          <w:rFonts w:ascii="Calibri" w:hAnsi="Calibri" w:cs="Arial"/>
        </w:rPr>
        <w:t xml:space="preserve">The Alaska Performance Scholarship provides an opportunity for Alaska high school students to earn a scholarship to help cover the cost of an Alaska postsecondary education. This program delivers financial support that makes postsecondary education a reality for some students that could not otherwise afford to attend. Alaska high school students who take a more rigorous curriculum, get good grades, and score well on college </w:t>
      </w:r>
      <w:r w:rsidR="00BA4A8C" w:rsidRPr="00987DC8">
        <w:rPr>
          <w:rFonts w:ascii="Calibri" w:hAnsi="Calibri" w:cs="Arial"/>
        </w:rPr>
        <w:lastRenderedPageBreak/>
        <w:t>placement or work ready exams can earn an Alaska Performance Scholarship to qualified Alaska colleges, universities, or vocational/technical programs.</w:t>
      </w:r>
      <w:r w:rsidR="00BA4A8C" w:rsidRPr="00C50B56">
        <w:rPr>
          <w:rFonts w:ascii="Calibri" w:hAnsi="Calibri"/>
        </w:rPr>
        <w:t xml:space="preserve"> </w:t>
      </w:r>
      <w:bookmarkStart w:id="10" w:name="_Toc6231627"/>
    </w:p>
    <w:p w14:paraId="6E890F85" w14:textId="77777777" w:rsidR="00987DC8" w:rsidRDefault="00987DC8">
      <w:pPr>
        <w:spacing w:after="160"/>
        <w:rPr>
          <w:rFonts w:ascii="Calibri" w:hAnsi="Calibri"/>
        </w:rPr>
      </w:pPr>
      <w:r>
        <w:rPr>
          <w:rFonts w:ascii="Calibri" w:hAnsi="Calibri"/>
        </w:rPr>
        <w:br w:type="page"/>
      </w:r>
    </w:p>
    <w:p w14:paraId="28170473" w14:textId="542E527C" w:rsidR="00424E73" w:rsidRPr="00A551DA" w:rsidRDefault="00424E73" w:rsidP="00987DC8">
      <w:pPr>
        <w:pStyle w:val="Heading1"/>
      </w:pPr>
      <w:r w:rsidRPr="00A551DA">
        <w:lastRenderedPageBreak/>
        <w:t>B. Title I, Part C: Education of Migratory Children</w:t>
      </w:r>
      <w:bookmarkEnd w:id="10"/>
    </w:p>
    <w:p w14:paraId="79228641" w14:textId="4E62E50B" w:rsidR="00987DC8" w:rsidRPr="00CE3AFB" w:rsidRDefault="00CE3AFB" w:rsidP="00CE3AFB">
      <w:pPr>
        <w:pStyle w:val="Heading2"/>
        <w:ind w:left="540" w:hanging="180"/>
      </w:pPr>
      <w:r>
        <w:t xml:space="preserve">1. </w:t>
      </w:r>
      <w:r w:rsidR="00BA4A8C" w:rsidRPr="00CE3AFB">
        <w:t xml:space="preserve">Supporting Needs of Migratory Children </w:t>
      </w:r>
    </w:p>
    <w:p w14:paraId="1CF7FE79" w14:textId="057B1EF4" w:rsidR="000100FA" w:rsidRPr="000100FA" w:rsidRDefault="00BA4A8C" w:rsidP="00987DC8">
      <w:pPr>
        <w:pStyle w:val="Default"/>
        <w:ind w:left="360"/>
        <w:rPr>
          <w:rStyle w:val="SubtleEmphasis"/>
        </w:rPr>
      </w:pPr>
      <w:r w:rsidRPr="000100FA">
        <w:rPr>
          <w:rStyle w:val="SubtleEmphasis"/>
        </w:rPr>
        <w:t>(ESEA section 1304(b</w:t>
      </w:r>
      <w:proofErr w:type="gramStart"/>
      <w:r w:rsidRPr="000100FA">
        <w:rPr>
          <w:rStyle w:val="SubtleEmphasis"/>
        </w:rPr>
        <w:t>)(</w:t>
      </w:r>
      <w:proofErr w:type="gramEnd"/>
      <w:r w:rsidRPr="000100FA">
        <w:rPr>
          <w:rStyle w:val="SubtleEmphasis"/>
        </w:rPr>
        <w:t>1))</w:t>
      </w:r>
      <w:r w:rsidR="000100FA">
        <w:rPr>
          <w:rStyle w:val="SubtleEmphasis"/>
        </w:rPr>
        <w:t>:</w:t>
      </w:r>
    </w:p>
    <w:p w14:paraId="2FA5F8A6" w14:textId="686F9D72" w:rsidR="00BA4A8C" w:rsidRPr="00A131B9" w:rsidRDefault="00BA4A8C" w:rsidP="00987DC8">
      <w:pPr>
        <w:pStyle w:val="Default"/>
        <w:ind w:left="360"/>
        <w:rPr>
          <w:rFonts w:ascii="Calibri" w:hAnsi="Calibri"/>
          <w:sz w:val="22"/>
          <w:szCs w:val="22"/>
        </w:rPr>
      </w:pPr>
      <w:r w:rsidRPr="00A131B9">
        <w:rPr>
          <w:rFonts w:ascii="Calibri" w:hAnsi="Calibri"/>
          <w:sz w:val="22"/>
          <w:szCs w:val="22"/>
        </w:rPr>
        <w:t xml:space="preserve">Describe how, in planning, implementing, and evaluating programs and projects assisted under Title I, Part C, the State and its local operating agencies will ensure that the unique educational needs of migratory children, including preschool migratory children and migratory children who have dropped out of school, are identified and addressed through: </w:t>
      </w:r>
    </w:p>
    <w:p w14:paraId="0D40C03D" w14:textId="77777777" w:rsidR="00BA4A8C" w:rsidRPr="00A131B9" w:rsidRDefault="00BA4A8C" w:rsidP="00BA1524">
      <w:pPr>
        <w:pStyle w:val="Default"/>
        <w:numPr>
          <w:ilvl w:val="1"/>
          <w:numId w:val="27"/>
        </w:numPr>
        <w:spacing w:after="21"/>
        <w:rPr>
          <w:rFonts w:ascii="Calibri" w:hAnsi="Calibri"/>
          <w:sz w:val="22"/>
          <w:szCs w:val="22"/>
        </w:rPr>
      </w:pPr>
      <w:r w:rsidRPr="00A131B9">
        <w:rPr>
          <w:rFonts w:ascii="Calibri" w:hAnsi="Calibri"/>
          <w:sz w:val="22"/>
          <w:szCs w:val="22"/>
        </w:rPr>
        <w:t xml:space="preserve">The full range of services that are available for migratory children from appropriate local, State, and Federal educational programs; </w:t>
      </w:r>
    </w:p>
    <w:p w14:paraId="081BA607" w14:textId="77777777" w:rsidR="00BA4A8C" w:rsidRPr="00A131B9" w:rsidRDefault="00BA4A8C" w:rsidP="00BA1524">
      <w:pPr>
        <w:pStyle w:val="Default"/>
        <w:numPr>
          <w:ilvl w:val="1"/>
          <w:numId w:val="27"/>
        </w:numPr>
        <w:spacing w:after="21"/>
        <w:rPr>
          <w:rFonts w:ascii="Calibri" w:hAnsi="Calibri"/>
          <w:sz w:val="22"/>
          <w:szCs w:val="22"/>
        </w:rPr>
      </w:pPr>
      <w:r w:rsidRPr="00A131B9">
        <w:rPr>
          <w:rFonts w:ascii="Calibri" w:hAnsi="Calibri"/>
          <w:sz w:val="22"/>
          <w:szCs w:val="22"/>
        </w:rPr>
        <w:t xml:space="preserve">Joint planning among local, State, and Federal educational programs serving migratory children, including language instruction educational programs under Title III, Part A; </w:t>
      </w:r>
    </w:p>
    <w:p w14:paraId="27BD010F" w14:textId="77777777" w:rsidR="00BA4A8C" w:rsidRPr="00A131B9" w:rsidRDefault="00BA4A8C" w:rsidP="00BA1524">
      <w:pPr>
        <w:pStyle w:val="Default"/>
        <w:numPr>
          <w:ilvl w:val="1"/>
          <w:numId w:val="27"/>
        </w:numPr>
        <w:spacing w:after="21"/>
        <w:rPr>
          <w:rFonts w:ascii="Calibri" w:hAnsi="Calibri"/>
          <w:sz w:val="22"/>
          <w:szCs w:val="22"/>
        </w:rPr>
      </w:pPr>
      <w:r w:rsidRPr="00A131B9">
        <w:rPr>
          <w:rFonts w:ascii="Calibri" w:hAnsi="Calibri"/>
          <w:sz w:val="22"/>
          <w:szCs w:val="22"/>
        </w:rPr>
        <w:t xml:space="preserve">The integration of services available under Title I, Part C with services provided by those other programs; and </w:t>
      </w:r>
    </w:p>
    <w:p w14:paraId="18DE5DDD" w14:textId="77777777" w:rsidR="00BA4A8C" w:rsidRPr="00A131B9" w:rsidRDefault="00BA4A8C" w:rsidP="00987DC8">
      <w:pPr>
        <w:pStyle w:val="Default"/>
        <w:numPr>
          <w:ilvl w:val="1"/>
          <w:numId w:val="27"/>
        </w:numPr>
        <w:spacing w:after="120"/>
        <w:rPr>
          <w:rFonts w:ascii="Calibri" w:hAnsi="Calibri"/>
          <w:sz w:val="22"/>
          <w:szCs w:val="22"/>
        </w:rPr>
      </w:pPr>
      <w:r w:rsidRPr="00A131B9">
        <w:rPr>
          <w:rFonts w:ascii="Calibri" w:hAnsi="Calibri"/>
          <w:sz w:val="22"/>
          <w:szCs w:val="22"/>
        </w:rPr>
        <w:t xml:space="preserve">Measurable program objectives and outcomes. </w:t>
      </w:r>
    </w:p>
    <w:p w14:paraId="5F5F369E" w14:textId="77777777" w:rsidR="00BA4A8C" w:rsidRDefault="00BA4A8C" w:rsidP="00987DC8">
      <w:r w:rsidRPr="00A131B9">
        <w:t>Since Title I, Part C, Education of Migratory Children funds are supplementary and cannot supplant</w:t>
      </w:r>
      <w:r>
        <w:t xml:space="preserve"> state or local funds</w:t>
      </w:r>
      <w:r w:rsidRPr="00A131B9">
        <w:t xml:space="preserve">, it is necessary to ensure migratory children and youth are receiving access </w:t>
      </w:r>
      <w:r>
        <w:t xml:space="preserve">to services from </w:t>
      </w:r>
      <w:r w:rsidRPr="00A131B9">
        <w:t xml:space="preserve">all </w:t>
      </w:r>
      <w:r>
        <w:t>S</w:t>
      </w:r>
      <w:r w:rsidRPr="00A131B9">
        <w:t>tate and federal funds they are entitled to before</w:t>
      </w:r>
      <w:r>
        <w:t xml:space="preserve"> being</w:t>
      </w:r>
      <w:r w:rsidRPr="00A131B9">
        <w:t xml:space="preserve"> provided support with Title I, Part C funds. At DEED, the Migrant Education Program</w:t>
      </w:r>
      <w:r>
        <w:t xml:space="preserve"> (MEP)</w:t>
      </w:r>
      <w:r w:rsidRPr="00A131B9">
        <w:t xml:space="preserve"> is part of the Student Learning Division. The division works collaboratively to </w:t>
      </w:r>
      <w:r>
        <w:t>en</w:t>
      </w:r>
      <w:r w:rsidRPr="00A131B9">
        <w:t xml:space="preserve">sure there is an understanding of </w:t>
      </w:r>
      <w:r>
        <w:t>the</w:t>
      </w:r>
      <w:r w:rsidRPr="00A131B9">
        <w:t xml:space="preserve"> services provided</w:t>
      </w:r>
      <w:r>
        <w:t xml:space="preserve"> by each program</w:t>
      </w:r>
      <w:r w:rsidRPr="00A131B9">
        <w:t xml:space="preserve">. Additionally, the Migrant Education Program is </w:t>
      </w:r>
      <w:r>
        <w:t>a part of two sub-</w:t>
      </w:r>
      <w:r w:rsidRPr="00A131B9">
        <w:t>teams</w:t>
      </w:r>
      <w:r>
        <w:t xml:space="preserve"> within the division</w:t>
      </w:r>
      <w:r w:rsidRPr="00A131B9">
        <w:t xml:space="preserve">: </w:t>
      </w:r>
      <w:r>
        <w:t xml:space="preserve">the </w:t>
      </w:r>
      <w:r w:rsidRPr="00A131B9">
        <w:t xml:space="preserve">ESEA Federal Programs Team and </w:t>
      </w:r>
      <w:r>
        <w:t>the Early Learning Team.</w:t>
      </w:r>
    </w:p>
    <w:p w14:paraId="5CF864D1" w14:textId="77777777" w:rsidR="00BA4A8C" w:rsidRPr="00A131B9" w:rsidRDefault="00BA4A8C" w:rsidP="00424E73">
      <w:pPr>
        <w:rPr>
          <w:rFonts w:ascii="Calibri" w:hAnsi="Calibri"/>
        </w:rPr>
      </w:pPr>
      <w:r w:rsidRPr="00A131B9">
        <w:rPr>
          <w:rFonts w:ascii="Calibri" w:hAnsi="Calibri"/>
        </w:rPr>
        <w:t>The ESEA Federal Programs Team meets regularly to discuss services and activities provided by their progra</w:t>
      </w:r>
      <w:r>
        <w:rPr>
          <w:rFonts w:ascii="Calibri" w:hAnsi="Calibri"/>
        </w:rPr>
        <w:t xml:space="preserve">ms, and </w:t>
      </w:r>
      <w:r w:rsidRPr="00A131B9">
        <w:rPr>
          <w:rFonts w:ascii="Calibri" w:hAnsi="Calibri"/>
        </w:rPr>
        <w:t>works collaboratively to review and approve ESEA Consolidated Application</w:t>
      </w:r>
      <w:r>
        <w:rPr>
          <w:rFonts w:ascii="Calibri" w:hAnsi="Calibri"/>
        </w:rPr>
        <w:t>s</w:t>
      </w:r>
      <w:r w:rsidRPr="00A131B9">
        <w:rPr>
          <w:rFonts w:ascii="Calibri" w:hAnsi="Calibri"/>
        </w:rPr>
        <w:t xml:space="preserve"> and to </w:t>
      </w:r>
      <w:r>
        <w:rPr>
          <w:rFonts w:ascii="Calibri" w:hAnsi="Calibri"/>
        </w:rPr>
        <w:t xml:space="preserve">monitor </w:t>
      </w:r>
      <w:r w:rsidRPr="00A131B9">
        <w:rPr>
          <w:rFonts w:ascii="Calibri" w:hAnsi="Calibri"/>
        </w:rPr>
        <w:t xml:space="preserve">ESEA programs together. </w:t>
      </w:r>
    </w:p>
    <w:p w14:paraId="46BA4F4A" w14:textId="77777777" w:rsidR="00CE3AFB" w:rsidRPr="00CE3AFB" w:rsidRDefault="00BA4A8C" w:rsidP="00080D72">
      <w:pPr>
        <w:pStyle w:val="ListParagraph"/>
        <w:numPr>
          <w:ilvl w:val="0"/>
          <w:numId w:val="31"/>
        </w:numPr>
        <w:rPr>
          <w:rFonts w:ascii="Calibri" w:hAnsi="Calibri"/>
        </w:rPr>
      </w:pPr>
      <w:r w:rsidRPr="00CE3AFB">
        <w:rPr>
          <w:rFonts w:ascii="Calibri" w:hAnsi="Calibri"/>
        </w:rPr>
        <w:t xml:space="preserve">Districts that receive Title I-C funds complete their application process through the ESEA Consolidated Application annually. The ESEA Consolidated Application includes Title I-A, Title I-C, Title I-D, Title II-A, Title III-A, and Title IV-A grant planning. The application requires districts to describe how they coordinate their various ESEA funding sources. The Consolidated Application allows for DEED to check for efficiencies and to ensure funds are not supplanting one another. The ESEA Consolidated Application requires district program personnel to coordinate with one another when planning services, and for DEED ESEA Program Leads to meet regularly to review ESEA Consolidated Applications together. Additionally, if they meet all eligibility criteria, schools can apply to consolidate their Title I-C funds into the Title I-A </w:t>
      </w:r>
      <w:proofErr w:type="spellStart"/>
      <w:r w:rsidRPr="00CE3AFB">
        <w:rPr>
          <w:rFonts w:ascii="Calibri" w:hAnsi="Calibri"/>
        </w:rPr>
        <w:t>Schoolwide</w:t>
      </w:r>
      <w:proofErr w:type="spellEnd"/>
      <w:r w:rsidRPr="00CE3AFB">
        <w:rPr>
          <w:rFonts w:ascii="Calibri" w:hAnsi="Calibri"/>
        </w:rPr>
        <w:t xml:space="preserve"> Program using the Consolidated Application.</w:t>
      </w:r>
      <w:r w:rsidRPr="00CE3AFB">
        <w:rPr>
          <w:rFonts w:ascii="Calibri" w:hAnsi="Calibri"/>
        </w:rPr>
        <w:br/>
      </w:r>
      <w:r w:rsidRPr="00CE3AFB">
        <w:rPr>
          <w:rFonts w:ascii="Calibri" w:hAnsi="Calibri"/>
        </w:rPr>
        <w:br/>
      </w:r>
      <w:r w:rsidRPr="00CE3AFB">
        <w:t>In addition to the general questions asking districts to indicate which federal programs have been included in the coordination of the ESEA Consolidated Application, DEED requires each district to answer the following question in the Title I-C section of the application. DEED works with districts through the application review and monitoring processes to ensure that the full range of services available to migratory students are provided. All services are provided at the district level; the state does not provide any services directly.</w:t>
      </w:r>
    </w:p>
    <w:p w14:paraId="5BDE38BA" w14:textId="77777777" w:rsidR="00CE3AFB" w:rsidRPr="00CE3AFB" w:rsidRDefault="00CE3AFB" w:rsidP="00CE3AFB">
      <w:pPr>
        <w:pStyle w:val="ListParagraph"/>
        <w:rPr>
          <w:sz w:val="12"/>
          <w:szCs w:val="12"/>
        </w:rPr>
      </w:pPr>
    </w:p>
    <w:p w14:paraId="73BA828B" w14:textId="5EA78676" w:rsidR="00BA4A8C" w:rsidRPr="00CE3AFB" w:rsidRDefault="00BA4A8C" w:rsidP="00CE3AFB">
      <w:pPr>
        <w:pStyle w:val="ListParagraph"/>
        <w:rPr>
          <w:rFonts w:ascii="Calibri" w:hAnsi="Calibri"/>
        </w:rPr>
      </w:pPr>
      <w:r w:rsidRPr="00CE3AFB">
        <w:rPr>
          <w:b/>
        </w:rPr>
        <w:lastRenderedPageBreak/>
        <w:t xml:space="preserve">“A.3. Coordination of Services: </w:t>
      </w:r>
      <w:r>
        <w:t xml:space="preserve">Describe how the district will address the unique needs of </w:t>
      </w:r>
      <w:r w:rsidRPr="0081129D">
        <w:t>migratory children and youth, including preschool migratory children and migratory children who have dropped out of school</w:t>
      </w:r>
      <w:r>
        <w:t>, through a full range of services (not funded through Title I-C) that are available to migratory children from appropriate local, State, and Federal educational programs. Note: This field is for services available through other programs and/or funding sources with which the district coordinates to address the identified needs of migratory children and youth. Do not describe Title I-C funded services here as they are described in Section D.  [Section 1306(a</w:t>
      </w:r>
      <w:proofErr w:type="gramStart"/>
      <w:r>
        <w:t>)(</w:t>
      </w:r>
      <w:proofErr w:type="gramEnd"/>
      <w:r>
        <w:t>1)(E)]”</w:t>
      </w:r>
      <w:r w:rsidRPr="00CE3AFB">
        <w:rPr>
          <w:rFonts w:ascii="Calibri" w:hAnsi="Calibri"/>
        </w:rPr>
        <w:br/>
      </w:r>
    </w:p>
    <w:p w14:paraId="552EF6DF" w14:textId="77777777" w:rsidR="00BA4A8C" w:rsidRPr="00A131B9" w:rsidRDefault="00BA4A8C" w:rsidP="00BA1524">
      <w:pPr>
        <w:pStyle w:val="ListParagraph"/>
        <w:numPr>
          <w:ilvl w:val="0"/>
          <w:numId w:val="31"/>
        </w:numPr>
        <w:rPr>
          <w:rFonts w:ascii="Calibri" w:hAnsi="Calibri"/>
        </w:rPr>
      </w:pPr>
      <w:r w:rsidRPr="00A131B9">
        <w:rPr>
          <w:rFonts w:ascii="Calibri" w:hAnsi="Calibri"/>
        </w:rPr>
        <w:t xml:space="preserve">Districts receiving ESEA funds are monitored. Title I-A, Title I-C, Title I-D, Title II-A, Title III-A, </w:t>
      </w:r>
      <w:r>
        <w:rPr>
          <w:rFonts w:ascii="Calibri" w:hAnsi="Calibri"/>
        </w:rPr>
        <w:t xml:space="preserve">Title IV-A, </w:t>
      </w:r>
      <w:r w:rsidRPr="00A131B9">
        <w:rPr>
          <w:rFonts w:ascii="Calibri" w:hAnsi="Calibri"/>
        </w:rPr>
        <w:t>and McKinney-Vento</w:t>
      </w:r>
      <w:r>
        <w:rPr>
          <w:rFonts w:ascii="Calibri" w:hAnsi="Calibri"/>
        </w:rPr>
        <w:t xml:space="preserve"> programs</w:t>
      </w:r>
      <w:r w:rsidRPr="00A131B9">
        <w:rPr>
          <w:rFonts w:ascii="Calibri" w:hAnsi="Calibri"/>
        </w:rPr>
        <w:t xml:space="preserve"> monitor districts</w:t>
      </w:r>
      <w:r>
        <w:rPr>
          <w:rFonts w:ascii="Calibri" w:hAnsi="Calibri"/>
        </w:rPr>
        <w:t xml:space="preserve"> for compliance</w:t>
      </w:r>
      <w:r w:rsidRPr="00A131B9">
        <w:rPr>
          <w:rFonts w:ascii="Calibri" w:hAnsi="Calibri"/>
        </w:rPr>
        <w:t xml:space="preserve"> together. Districts are required to gather evidence that </w:t>
      </w:r>
      <w:r>
        <w:rPr>
          <w:rFonts w:ascii="Calibri" w:hAnsi="Calibri"/>
        </w:rPr>
        <w:t xml:space="preserve">all </w:t>
      </w:r>
      <w:r w:rsidRPr="004C131C">
        <w:rPr>
          <w:rFonts w:ascii="Calibri" w:hAnsi="Calibri"/>
        </w:rPr>
        <w:t xml:space="preserve">MEP </w:t>
      </w:r>
      <w:r w:rsidRPr="008D360F">
        <w:t>children and youth, including preschool migratory children and migratory children who have dropped out of school,</w:t>
      </w:r>
      <w:r w:rsidRPr="004C131C">
        <w:rPr>
          <w:rFonts w:ascii="Calibri" w:hAnsi="Calibri"/>
        </w:rPr>
        <w:t xml:space="preserve"> are </w:t>
      </w:r>
      <w:r w:rsidRPr="00A131B9">
        <w:rPr>
          <w:rFonts w:ascii="Calibri" w:hAnsi="Calibri"/>
        </w:rPr>
        <w:t xml:space="preserve">receiving all the district, </w:t>
      </w:r>
      <w:r>
        <w:rPr>
          <w:rFonts w:ascii="Calibri" w:hAnsi="Calibri"/>
        </w:rPr>
        <w:t>S</w:t>
      </w:r>
      <w:r w:rsidRPr="00A131B9">
        <w:rPr>
          <w:rFonts w:ascii="Calibri" w:hAnsi="Calibri"/>
        </w:rPr>
        <w:t xml:space="preserve">tate, and federal services available to the district. </w:t>
      </w:r>
    </w:p>
    <w:p w14:paraId="70B9950E" w14:textId="77777777" w:rsidR="00BA4A8C" w:rsidRPr="005D56CD" w:rsidRDefault="00BA4A8C" w:rsidP="00424E73">
      <w:pPr>
        <w:rPr>
          <w:rFonts w:ascii="Calibri" w:hAnsi="Calibri"/>
        </w:rPr>
      </w:pPr>
      <w:r w:rsidRPr="005D56CD">
        <w:rPr>
          <w:rFonts w:ascii="Calibri" w:hAnsi="Calibri"/>
        </w:rPr>
        <w:t xml:space="preserve">The Early Learning Team works together to ensure preschool migratory children are receiving local, </w:t>
      </w:r>
      <w:r>
        <w:rPr>
          <w:rFonts w:ascii="Calibri" w:hAnsi="Calibri"/>
        </w:rPr>
        <w:t>S</w:t>
      </w:r>
      <w:r w:rsidRPr="005D56CD">
        <w:rPr>
          <w:rFonts w:ascii="Calibri" w:hAnsi="Calibri"/>
        </w:rPr>
        <w:t>tate, and federal</w:t>
      </w:r>
      <w:r>
        <w:rPr>
          <w:rFonts w:ascii="Calibri" w:hAnsi="Calibri"/>
        </w:rPr>
        <w:t>-</w:t>
      </w:r>
      <w:r w:rsidRPr="005D56CD">
        <w:rPr>
          <w:rFonts w:ascii="Calibri" w:hAnsi="Calibri"/>
        </w:rPr>
        <w:t xml:space="preserve">funded preschool opportunities available to them. The Migrant Education Program is supervised by the Early Learning Administrator. </w:t>
      </w:r>
    </w:p>
    <w:p w14:paraId="5A0A1CC5" w14:textId="77777777" w:rsidR="00BA4A8C" w:rsidRPr="005D56CD" w:rsidRDefault="00BA4A8C" w:rsidP="00424E73">
      <w:pPr>
        <w:rPr>
          <w:rFonts w:ascii="Calibri" w:hAnsi="Calibri"/>
        </w:rPr>
      </w:pPr>
      <w:r w:rsidRPr="005D56CD">
        <w:rPr>
          <w:rFonts w:ascii="Calibri" w:hAnsi="Calibri"/>
        </w:rPr>
        <w:t xml:space="preserve">The Migrant Education Program provides districts with a Migrant Summative Data Report in the spring annually. This report is a tool for districts to use to evaluate the effectiveness of their program and to help guide their needs assessment for the following year. </w:t>
      </w:r>
    </w:p>
    <w:p w14:paraId="5341E368" w14:textId="77777777" w:rsidR="00BA4A8C" w:rsidRPr="005D56CD" w:rsidRDefault="00BA4A8C" w:rsidP="00424E73">
      <w:pPr>
        <w:rPr>
          <w:rFonts w:ascii="Calibri" w:hAnsi="Calibri"/>
        </w:rPr>
      </w:pPr>
      <w:r>
        <w:rPr>
          <w:rFonts w:ascii="Calibri" w:hAnsi="Calibri"/>
        </w:rPr>
        <w:t>DEED</w:t>
      </w:r>
      <w:r w:rsidRPr="005D56CD">
        <w:rPr>
          <w:rFonts w:ascii="Calibri" w:hAnsi="Calibri"/>
        </w:rPr>
        <w:t xml:space="preserve"> develops a statewide comprehensive needs assessment (CNA) that includes the identification and an assessment of:</w:t>
      </w:r>
    </w:p>
    <w:p w14:paraId="21BDE1E7" w14:textId="77777777" w:rsidR="00BA4A8C" w:rsidRPr="005D56CD" w:rsidRDefault="00BA4A8C" w:rsidP="00BA1524">
      <w:pPr>
        <w:pStyle w:val="ListParagraph"/>
        <w:numPr>
          <w:ilvl w:val="0"/>
          <w:numId w:val="30"/>
        </w:numPr>
        <w:rPr>
          <w:rFonts w:ascii="Calibri" w:hAnsi="Calibri"/>
        </w:rPr>
      </w:pPr>
      <w:r w:rsidRPr="005D56CD">
        <w:rPr>
          <w:rFonts w:ascii="Calibri" w:hAnsi="Calibri"/>
        </w:rPr>
        <w:t xml:space="preserve">The unique educational needs of </w:t>
      </w:r>
      <w:r>
        <w:rPr>
          <w:rFonts w:ascii="Calibri" w:hAnsi="Calibri"/>
        </w:rPr>
        <w:t xml:space="preserve">all </w:t>
      </w:r>
      <w:r w:rsidRPr="005D56CD">
        <w:rPr>
          <w:rFonts w:ascii="Calibri" w:hAnsi="Calibri"/>
        </w:rPr>
        <w:t xml:space="preserve">migrant </w:t>
      </w:r>
      <w:r w:rsidRPr="004C131C">
        <w:rPr>
          <w:rFonts w:ascii="Calibri" w:hAnsi="Calibri"/>
        </w:rPr>
        <w:t>children</w:t>
      </w:r>
      <w:r w:rsidRPr="008D360F">
        <w:t>, including preschool migratory children and migratory children who have dropped out of school,</w:t>
      </w:r>
      <w:r w:rsidRPr="004C131C">
        <w:rPr>
          <w:rFonts w:ascii="Calibri" w:hAnsi="Calibri"/>
        </w:rPr>
        <w:t xml:space="preserve"> that </w:t>
      </w:r>
      <w:r w:rsidRPr="005D56CD">
        <w:rPr>
          <w:rFonts w:ascii="Calibri" w:hAnsi="Calibri"/>
        </w:rPr>
        <w:t xml:space="preserve">result from the children’s migrant lifestyle. </w:t>
      </w:r>
    </w:p>
    <w:p w14:paraId="0C901B96" w14:textId="77777777" w:rsidR="00BA4A8C" w:rsidRPr="005D56CD" w:rsidRDefault="00BA4A8C" w:rsidP="00BA1524">
      <w:pPr>
        <w:pStyle w:val="ListParagraph"/>
        <w:numPr>
          <w:ilvl w:val="0"/>
          <w:numId w:val="30"/>
        </w:numPr>
        <w:rPr>
          <w:rFonts w:ascii="Calibri" w:hAnsi="Calibri"/>
        </w:rPr>
      </w:pPr>
      <w:r w:rsidRPr="005D56CD">
        <w:rPr>
          <w:rFonts w:ascii="Calibri" w:hAnsi="Calibri"/>
        </w:rPr>
        <w:t xml:space="preserve">Other needs of migrant students that must be met in order for them to participate effectively in school. </w:t>
      </w:r>
    </w:p>
    <w:p w14:paraId="145437EF" w14:textId="77777777" w:rsidR="00BA4A8C" w:rsidRPr="005D56CD" w:rsidRDefault="00BA4A8C" w:rsidP="00424E73">
      <w:pPr>
        <w:rPr>
          <w:rFonts w:ascii="Calibri" w:hAnsi="Calibri"/>
        </w:rPr>
      </w:pPr>
      <w:r w:rsidRPr="005D56CD">
        <w:rPr>
          <w:rFonts w:ascii="Calibri" w:hAnsi="Calibri"/>
        </w:rPr>
        <w:t xml:space="preserve">For the CNA process, </w:t>
      </w:r>
      <w:r>
        <w:rPr>
          <w:rFonts w:ascii="Calibri" w:hAnsi="Calibri"/>
        </w:rPr>
        <w:t>DEED</w:t>
      </w:r>
      <w:r w:rsidRPr="005D56CD">
        <w:rPr>
          <w:rFonts w:ascii="Calibri" w:hAnsi="Calibri"/>
        </w:rPr>
        <w:t xml:space="preserve"> contracts with consultants to assist with the CNA update. DEED Migrant Education Program staff, with the assistance of the consultants, use various platforms to gather data on migrant </w:t>
      </w:r>
      <w:r>
        <w:rPr>
          <w:rFonts w:ascii="Calibri" w:hAnsi="Calibri"/>
        </w:rPr>
        <w:t>children and youth</w:t>
      </w:r>
      <w:r w:rsidRPr="005D56CD">
        <w:rPr>
          <w:rFonts w:ascii="Calibri" w:hAnsi="Calibri"/>
        </w:rPr>
        <w:t xml:space="preserve"> achievement and outcomes, disseminate and collect surveys documenting the perception of migrant staff and parents related to migrant </w:t>
      </w:r>
      <w:r>
        <w:rPr>
          <w:rFonts w:ascii="Calibri" w:hAnsi="Calibri"/>
        </w:rPr>
        <w:t>children and youth’s</w:t>
      </w:r>
      <w:r w:rsidRPr="005D56CD">
        <w:rPr>
          <w:rFonts w:ascii="Calibri" w:hAnsi="Calibri"/>
        </w:rPr>
        <w:t xml:space="preserve"> needs, and identify relevant demographic and evaluation data. The data collected is used by the </w:t>
      </w:r>
      <w:r>
        <w:rPr>
          <w:rFonts w:ascii="Calibri" w:hAnsi="Calibri"/>
        </w:rPr>
        <w:t>CNA</w:t>
      </w:r>
      <w:r w:rsidRPr="005D56CD">
        <w:rPr>
          <w:rFonts w:ascii="Calibri" w:hAnsi="Calibri"/>
        </w:rPr>
        <w:t xml:space="preserve"> </w:t>
      </w:r>
      <w:r>
        <w:rPr>
          <w:rFonts w:ascii="Calibri" w:hAnsi="Calibri"/>
        </w:rPr>
        <w:t>c</w:t>
      </w:r>
      <w:r w:rsidRPr="005D56CD">
        <w:rPr>
          <w:rFonts w:ascii="Calibri" w:hAnsi="Calibri"/>
        </w:rPr>
        <w:t xml:space="preserve">ommittee, a group of migrant education stakeholders, to formulate a comprehensive understanding of the characteristics of </w:t>
      </w:r>
      <w:r w:rsidRPr="004C131C">
        <w:rPr>
          <w:rFonts w:ascii="Calibri" w:hAnsi="Calibri"/>
        </w:rPr>
        <w:t>the migrant children and youth population in Alaska. A profile of Alaska migrant children and youth</w:t>
      </w:r>
      <w:r w:rsidRPr="008D360F">
        <w:t>, including preschool migratory children and migratory children who have dropped out of school,</w:t>
      </w:r>
      <w:r w:rsidRPr="004C131C">
        <w:rPr>
          <w:rFonts w:ascii="Calibri" w:hAnsi="Calibri"/>
        </w:rPr>
        <w:t xml:space="preserve"> is developed based on the most recently available information. The CNA committee uses the profile and </w:t>
      </w:r>
      <w:r w:rsidRPr="005D56CD">
        <w:rPr>
          <w:rFonts w:ascii="Calibri" w:hAnsi="Calibri"/>
        </w:rPr>
        <w:t xml:space="preserve">other collected data to develop concern statements, needs indicators, needs statements, and solutions strategies. The CNA guides the design of the Alaska Migrant Education Program. </w:t>
      </w:r>
    </w:p>
    <w:p w14:paraId="5D6EC319" w14:textId="77777777" w:rsidR="00BA4A8C" w:rsidRDefault="00BA4A8C" w:rsidP="00424E73">
      <w:pPr>
        <w:rPr>
          <w:rFonts w:ascii="Calibri" w:hAnsi="Calibri"/>
        </w:rPr>
      </w:pPr>
      <w:r w:rsidRPr="005D56CD">
        <w:rPr>
          <w:rFonts w:ascii="Calibri" w:hAnsi="Calibri"/>
        </w:rPr>
        <w:t xml:space="preserve">Based on the most recent CNA, </w:t>
      </w:r>
      <w:r>
        <w:rPr>
          <w:rFonts w:ascii="Calibri" w:hAnsi="Calibri"/>
        </w:rPr>
        <w:t>DEED,</w:t>
      </w:r>
      <w:r w:rsidRPr="005D56CD">
        <w:rPr>
          <w:rFonts w:ascii="Calibri" w:hAnsi="Calibri"/>
        </w:rPr>
        <w:t xml:space="preserve"> with the assistance of consultants and stakeholders, created a Service Delivery Plan (SDP).</w:t>
      </w:r>
      <w:r>
        <w:rPr>
          <w:rFonts w:ascii="Calibri" w:hAnsi="Calibri"/>
        </w:rPr>
        <w:t xml:space="preserve"> </w:t>
      </w:r>
      <w:r w:rsidRPr="005D56CD">
        <w:rPr>
          <w:rFonts w:ascii="Calibri" w:hAnsi="Calibri"/>
        </w:rPr>
        <w:t xml:space="preserve">The SDP </w:t>
      </w:r>
      <w:r>
        <w:rPr>
          <w:rFonts w:ascii="Calibri" w:hAnsi="Calibri"/>
        </w:rPr>
        <w:t>c</w:t>
      </w:r>
      <w:r w:rsidRPr="005D56CD">
        <w:rPr>
          <w:rFonts w:ascii="Calibri" w:hAnsi="Calibri"/>
        </w:rPr>
        <w:t>ommittee was composed of representatives who are parents and community members; MEP educators and administrators, recruiters, and</w:t>
      </w:r>
      <w:r>
        <w:rPr>
          <w:rFonts w:ascii="Calibri" w:hAnsi="Calibri"/>
        </w:rPr>
        <w:t xml:space="preserve"> DEED</w:t>
      </w:r>
      <w:r w:rsidRPr="005D56CD">
        <w:rPr>
          <w:rFonts w:ascii="Calibri" w:hAnsi="Calibri"/>
        </w:rPr>
        <w:t xml:space="preserve"> representatives. These individuals have expertise and/or experience in reading, mathematics, migrant </w:t>
      </w:r>
      <w:r>
        <w:rPr>
          <w:rFonts w:ascii="Calibri" w:hAnsi="Calibri"/>
        </w:rPr>
        <w:t>children and youth</w:t>
      </w:r>
      <w:r w:rsidRPr="005D56CD">
        <w:rPr>
          <w:rFonts w:ascii="Calibri" w:hAnsi="Calibri"/>
        </w:rPr>
        <w:t xml:space="preserve"> </w:t>
      </w:r>
      <w:r w:rsidRPr="005D56CD">
        <w:rPr>
          <w:rFonts w:ascii="Calibri" w:hAnsi="Calibri"/>
        </w:rPr>
        <w:lastRenderedPageBreak/>
        <w:t xml:space="preserve">graduation strategies, </w:t>
      </w:r>
      <w:r>
        <w:rPr>
          <w:rFonts w:ascii="Calibri" w:hAnsi="Calibri"/>
        </w:rPr>
        <w:t xml:space="preserve">cohesive </w:t>
      </w:r>
      <w:r w:rsidRPr="005D56CD">
        <w:rPr>
          <w:rFonts w:ascii="Calibri" w:hAnsi="Calibri"/>
        </w:rPr>
        <w:t xml:space="preserve">professional development, identification and recruitment (ID&amp;R), data management, inter-agency coordination, parent involvement, and/or early childhood education. Members of the SDP </w:t>
      </w:r>
      <w:r>
        <w:rPr>
          <w:rFonts w:ascii="Calibri" w:hAnsi="Calibri"/>
        </w:rPr>
        <w:t>c</w:t>
      </w:r>
      <w:r w:rsidRPr="005D56CD">
        <w:rPr>
          <w:rFonts w:ascii="Calibri" w:hAnsi="Calibri"/>
        </w:rPr>
        <w:t xml:space="preserve">ommittee also served on the Alaska MEP CNA </w:t>
      </w:r>
      <w:r>
        <w:rPr>
          <w:rFonts w:ascii="Calibri" w:hAnsi="Calibri"/>
        </w:rPr>
        <w:t>c</w:t>
      </w:r>
      <w:r w:rsidRPr="005D56CD">
        <w:rPr>
          <w:rFonts w:ascii="Calibri" w:hAnsi="Calibri"/>
        </w:rPr>
        <w:t xml:space="preserve">ommittee to provide continuity to the overall comprehensive process that was carried out in Alaska. This helped to ensure systems are aligned to meet the unique educational needs of </w:t>
      </w:r>
      <w:r>
        <w:rPr>
          <w:rFonts w:ascii="Calibri" w:hAnsi="Calibri"/>
        </w:rPr>
        <w:t xml:space="preserve">all </w:t>
      </w:r>
      <w:r w:rsidRPr="005D56CD">
        <w:rPr>
          <w:rFonts w:ascii="Calibri" w:hAnsi="Calibri"/>
        </w:rPr>
        <w:t xml:space="preserve">Alaska migrant </w:t>
      </w:r>
      <w:r>
        <w:rPr>
          <w:rFonts w:ascii="Calibri" w:hAnsi="Calibri"/>
        </w:rPr>
        <w:t xml:space="preserve">children and </w:t>
      </w:r>
      <w:r w:rsidRPr="004C131C">
        <w:rPr>
          <w:rFonts w:ascii="Calibri" w:hAnsi="Calibri"/>
        </w:rPr>
        <w:t>youth</w:t>
      </w:r>
      <w:r w:rsidRPr="008D360F">
        <w:t>, including preschool migratory children and migratory children who have dropped out of school</w:t>
      </w:r>
      <w:r w:rsidRPr="004C131C">
        <w:rPr>
          <w:rFonts w:ascii="Calibri" w:hAnsi="Calibri"/>
        </w:rPr>
        <w:t>.</w:t>
      </w:r>
      <w:r w:rsidRPr="005D56CD">
        <w:rPr>
          <w:rFonts w:ascii="Calibri" w:hAnsi="Calibri"/>
        </w:rPr>
        <w:t xml:space="preserve"> Through the State SDP process, DEED creates Measurable Program Objectives and Outcomes</w:t>
      </w:r>
      <w:r>
        <w:rPr>
          <w:rFonts w:ascii="Calibri" w:hAnsi="Calibri"/>
        </w:rPr>
        <w:t xml:space="preserve"> and</w:t>
      </w:r>
      <w:r w:rsidRPr="005D56CD">
        <w:rPr>
          <w:rFonts w:ascii="Calibri" w:hAnsi="Calibri"/>
        </w:rPr>
        <w:t xml:space="preserve"> evaluates the progress</w:t>
      </w:r>
      <w:r>
        <w:rPr>
          <w:rFonts w:ascii="Calibri" w:hAnsi="Calibri"/>
        </w:rPr>
        <w:t xml:space="preserve"> toward these outcomes</w:t>
      </w:r>
      <w:r w:rsidRPr="005D56CD">
        <w:rPr>
          <w:rFonts w:ascii="Calibri" w:hAnsi="Calibri"/>
        </w:rPr>
        <w:t>.</w:t>
      </w:r>
    </w:p>
    <w:p w14:paraId="06567B2B" w14:textId="77777777" w:rsidR="00BA4A8C" w:rsidRPr="00DB4320" w:rsidRDefault="00BA4A8C" w:rsidP="00760471">
      <w:r w:rsidRPr="009307A4">
        <w:t>Alaska has begun the process to update both the Comprehensive Needs Assessment (CNA) and the State Service Delivery Plan</w:t>
      </w:r>
      <w:r w:rsidRPr="00DB4320">
        <w:t xml:space="preserve"> (SDP). The stakeholder process for the CNA begins in March 2018 and will end with an updated CNA Report finalized by 12/31/18. The SDP process will begin in fall 2018 and will end with an updated SDP Report finalized by 07/01/19. Alaska has contracted for a formal evaluation of the 2019-2020 school year (first year of new SDP implementation) that will be completed by 12/31/20. </w:t>
      </w:r>
    </w:p>
    <w:p w14:paraId="6016164E" w14:textId="77777777" w:rsidR="00BA4A8C" w:rsidRPr="00DB4320" w:rsidRDefault="00BA4A8C" w:rsidP="00760471">
      <w:r w:rsidRPr="00DB4320">
        <w:t xml:space="preserve">The Measurable Program Objectives and Outcomes defined in the most recent State Service Delivery Plan have been modified to reflect changes in state assessments and regulations since they were adopted. Alaska administered the Standards Based Assessments, or SBAs, through the 2013-2014 school year. After one new assessment in 2014-2015 (Alaska Measures of Progress) and a cancelled assessment in 2015-2016, the state began administering the Performance Evaluation for Alaska’s Schools (PEAKS) in 2016-2017. The requirement for a high school student to pass the High School Graduation Qualifying Exam (HSGQE) to earn a diploma was removed by the legislator, so those MPOs have been removed. </w:t>
      </w:r>
    </w:p>
    <w:p w14:paraId="42A725A8" w14:textId="77777777" w:rsidR="00BA4A8C" w:rsidRPr="00DB4320" w:rsidRDefault="00BA4A8C" w:rsidP="00760471">
      <w:r w:rsidRPr="00DB4320">
        <w:t xml:space="preserve">Current f Measurable Program Objectives and Outcomes: </w:t>
      </w:r>
    </w:p>
    <w:p w14:paraId="215C6DAF" w14:textId="77777777" w:rsidR="00BA4A8C" w:rsidRPr="00DB4320" w:rsidRDefault="00BA4A8C" w:rsidP="006641B6">
      <w:pPr>
        <w:pStyle w:val="ListParagraph"/>
        <w:numPr>
          <w:ilvl w:val="0"/>
          <w:numId w:val="76"/>
        </w:numPr>
      </w:pPr>
      <w:r w:rsidRPr="00DB4320">
        <w:rPr>
          <w:b/>
        </w:rPr>
        <w:t>Academic Support MPOs</w:t>
      </w:r>
    </w:p>
    <w:p w14:paraId="71E88945" w14:textId="77777777" w:rsidR="00BA4A8C" w:rsidRPr="00094333" w:rsidRDefault="00BA4A8C" w:rsidP="006641B6">
      <w:pPr>
        <w:pStyle w:val="ListParagraph"/>
        <w:numPr>
          <w:ilvl w:val="1"/>
          <w:numId w:val="79"/>
        </w:numPr>
        <w:ind w:left="1147"/>
      </w:pPr>
      <w:r w:rsidRPr="00BC64BB">
        <w:t xml:space="preserve">By the end of the 2013-14 school year and each year thereafter for the next six years, the gap between migrant and non-migrant students proficient on the English/language arts PEAKS assessment will </w:t>
      </w:r>
      <w:r w:rsidRPr="00094333">
        <w:t>be reduced by 2%.</w:t>
      </w:r>
    </w:p>
    <w:p w14:paraId="00E70CD6" w14:textId="77777777" w:rsidR="00BA4A8C" w:rsidRPr="00094333" w:rsidRDefault="00BA4A8C" w:rsidP="006641B6">
      <w:pPr>
        <w:pStyle w:val="ListParagraph"/>
        <w:numPr>
          <w:ilvl w:val="1"/>
          <w:numId w:val="79"/>
        </w:numPr>
        <w:ind w:left="1147"/>
      </w:pPr>
      <w:r w:rsidRPr="00094333">
        <w:t>By the end of the 2013-14 school year and each year thereafter for the next six years, the gap between migrant and non-migrant students proficient on the math PEAKS assessment will be reduced by 2%.</w:t>
      </w:r>
    </w:p>
    <w:p w14:paraId="3AE42F74" w14:textId="77777777" w:rsidR="00BA4A8C" w:rsidRPr="00094333" w:rsidRDefault="00BA4A8C" w:rsidP="006641B6">
      <w:pPr>
        <w:pStyle w:val="ListParagraph"/>
        <w:numPr>
          <w:ilvl w:val="1"/>
          <w:numId w:val="79"/>
        </w:numPr>
        <w:ind w:left="1147"/>
      </w:pPr>
      <w:r w:rsidRPr="00094333">
        <w:t xml:space="preserve">By the end of the 2013-14 school year and each year thereafter for the next six years, the gap between migrant English learner (EL) and non-migrant EL students proficient on the PEAKS English/language arts will be reduced by 1%. </w:t>
      </w:r>
    </w:p>
    <w:p w14:paraId="5EFD5A71" w14:textId="77777777" w:rsidR="00BA4A8C" w:rsidRPr="00094333" w:rsidRDefault="00BA4A8C" w:rsidP="006641B6">
      <w:pPr>
        <w:pStyle w:val="ListParagraph"/>
        <w:numPr>
          <w:ilvl w:val="1"/>
          <w:numId w:val="79"/>
        </w:numPr>
        <w:ind w:left="1147"/>
      </w:pPr>
      <w:r w:rsidRPr="00094333">
        <w:t xml:space="preserve">By the end of the 2013-14 school year and each year thereafter for the next six years, the gap between migrant EL and non-migrant EL </w:t>
      </w:r>
      <w:proofErr w:type="gramStart"/>
      <w:r w:rsidRPr="00094333">
        <w:t>students</w:t>
      </w:r>
      <w:proofErr w:type="gramEnd"/>
      <w:r w:rsidRPr="00094333">
        <w:t xml:space="preserve"> proficient on the PEAKS math will be reduced by 1%.</w:t>
      </w:r>
    </w:p>
    <w:p w14:paraId="38839C89" w14:textId="77777777" w:rsidR="00BA4A8C" w:rsidRPr="00D93C0B" w:rsidRDefault="00BA4A8C" w:rsidP="006641B6">
      <w:pPr>
        <w:pStyle w:val="ListParagraph"/>
        <w:numPr>
          <w:ilvl w:val="1"/>
          <w:numId w:val="79"/>
        </w:numPr>
        <w:ind w:left="1147"/>
      </w:pPr>
      <w:r w:rsidRPr="00D93C0B">
        <w:t>By the end of the 2013-14 school year and each year thereafter, 80% of staff who receive MEP funded professional development will report on a staff survey that the training helped them implement research-based instructional, curricular, or assessment strategies in English/language arts or math.</w:t>
      </w:r>
    </w:p>
    <w:p w14:paraId="2C18F46F" w14:textId="0C8FB505" w:rsidR="00BA4A8C" w:rsidRDefault="00BA4A8C" w:rsidP="006641B6">
      <w:pPr>
        <w:pStyle w:val="ListParagraph"/>
        <w:numPr>
          <w:ilvl w:val="1"/>
          <w:numId w:val="79"/>
        </w:numPr>
        <w:ind w:left="1147"/>
      </w:pPr>
      <w:r w:rsidRPr="00D93C0B">
        <w:t>By the end of the 2013-14 school year and each year thereafter for the next six years, the gap between migrant EL and non-migrant EL students proficient on the state approved ELP assessment will be reduced by 0.5%.</w:t>
      </w:r>
    </w:p>
    <w:p w14:paraId="00203B7D" w14:textId="77777777" w:rsidR="00CE3AFB" w:rsidRPr="00D93C0B" w:rsidRDefault="00CE3AFB" w:rsidP="00CE3AFB">
      <w:pPr>
        <w:ind w:left="787"/>
      </w:pPr>
    </w:p>
    <w:p w14:paraId="546616CC" w14:textId="77777777" w:rsidR="00BA4A8C" w:rsidRPr="004C131C" w:rsidRDefault="00BA4A8C" w:rsidP="006641B6">
      <w:pPr>
        <w:pStyle w:val="ListParagraph"/>
        <w:numPr>
          <w:ilvl w:val="0"/>
          <w:numId w:val="76"/>
        </w:numPr>
      </w:pPr>
      <w:r w:rsidRPr="004C131C">
        <w:rPr>
          <w:b/>
          <w:bCs/>
        </w:rPr>
        <w:lastRenderedPageBreak/>
        <w:t>High School Graduation MPOs</w:t>
      </w:r>
    </w:p>
    <w:p w14:paraId="6B856D18" w14:textId="77777777" w:rsidR="00BA4A8C" w:rsidRPr="004C131C" w:rsidRDefault="00BA4A8C" w:rsidP="006641B6">
      <w:pPr>
        <w:pStyle w:val="ListParagraph"/>
        <w:numPr>
          <w:ilvl w:val="1"/>
          <w:numId w:val="79"/>
        </w:numPr>
        <w:ind w:left="1147"/>
      </w:pPr>
      <w:r w:rsidRPr="004C131C">
        <w:t>By the end of the 2013-14 school year and each year thereafter over the next six years, the graduation rate for migrant high school students will increase by 3%.</w:t>
      </w:r>
    </w:p>
    <w:p w14:paraId="78B71B84" w14:textId="77777777" w:rsidR="00BA4A8C" w:rsidRPr="004C131C" w:rsidRDefault="00BA4A8C" w:rsidP="006641B6">
      <w:pPr>
        <w:pStyle w:val="ListParagraph"/>
        <w:numPr>
          <w:ilvl w:val="1"/>
          <w:numId w:val="79"/>
        </w:numPr>
        <w:ind w:left="1147"/>
      </w:pPr>
      <w:r w:rsidRPr="004C131C">
        <w:t>By the end of the 2013-14 school year and each year thereafter, 80% of migrant OSY who participated in migrant-funded outreach activities and have an OSY plan will make progress on the plan as indicated by teacher/instructional staff assessment of plan progress.</w:t>
      </w:r>
    </w:p>
    <w:p w14:paraId="23A78314" w14:textId="77777777" w:rsidR="00BA4A8C" w:rsidRPr="004C131C" w:rsidRDefault="00BA4A8C" w:rsidP="006641B6">
      <w:pPr>
        <w:pStyle w:val="ListParagraph"/>
        <w:numPr>
          <w:ilvl w:val="0"/>
          <w:numId w:val="76"/>
        </w:numPr>
      </w:pPr>
      <w:r w:rsidRPr="004C131C">
        <w:rPr>
          <w:b/>
          <w:bCs/>
        </w:rPr>
        <w:t>School Readiness MPOs</w:t>
      </w:r>
    </w:p>
    <w:p w14:paraId="6C5C4DEF" w14:textId="77777777" w:rsidR="00BA4A8C" w:rsidRPr="004C131C" w:rsidRDefault="00BA4A8C" w:rsidP="006641B6">
      <w:pPr>
        <w:pStyle w:val="ListParagraph"/>
        <w:numPr>
          <w:ilvl w:val="1"/>
          <w:numId w:val="79"/>
        </w:numPr>
        <w:ind w:left="1147"/>
      </w:pPr>
      <w:r w:rsidRPr="004C131C">
        <w:t>By the end of the 2013-14 school year and each year thereafter, 80% of parents who receive the Early Learning Guidelines (ELGs) and attend migrant-sponsored parent education activities (or activities with substantial MEP involvement) regarding the ELGs will indicate on a parent survey that the training was useful in preparing their child for Kindergarten.</w:t>
      </w:r>
    </w:p>
    <w:p w14:paraId="2C26C874" w14:textId="77777777" w:rsidR="00BA4A8C" w:rsidRPr="004C131C" w:rsidRDefault="00BA4A8C" w:rsidP="006641B6">
      <w:pPr>
        <w:pStyle w:val="ListParagraph"/>
        <w:numPr>
          <w:ilvl w:val="1"/>
          <w:numId w:val="79"/>
        </w:numPr>
        <w:ind w:left="1147"/>
      </w:pPr>
      <w:r w:rsidRPr="004C131C">
        <w:t>By the end of the 2013-14 school year and each year thereafter, 80% of migrant staff that receive training on implementing the ELGs will indicate on a staff survey that the training is beneficial in their instruction of migrant preschoolers.</w:t>
      </w:r>
    </w:p>
    <w:p w14:paraId="66E4E314" w14:textId="77777777" w:rsidR="00BA4A8C" w:rsidRPr="004C131C" w:rsidRDefault="00BA4A8C" w:rsidP="006641B6">
      <w:pPr>
        <w:pStyle w:val="ListParagraph"/>
        <w:numPr>
          <w:ilvl w:val="1"/>
          <w:numId w:val="79"/>
        </w:numPr>
        <w:ind w:left="1147"/>
      </w:pPr>
      <w:r w:rsidRPr="004C131C">
        <w:t>By the end of the 2014-15 school year and each year thereafter, 55% of students attending migrant-operated and funded preschools that implement the ELGs will master 9 of the 13 skills on the Kindergarten Development Profile by the fall of their kindergarten year.</w:t>
      </w:r>
    </w:p>
    <w:p w14:paraId="75E86768" w14:textId="77777777" w:rsidR="00BA4A8C" w:rsidRPr="004C131C" w:rsidRDefault="00BA4A8C" w:rsidP="006641B6">
      <w:pPr>
        <w:pStyle w:val="ListParagraph"/>
        <w:numPr>
          <w:ilvl w:val="0"/>
          <w:numId w:val="76"/>
        </w:numPr>
      </w:pPr>
      <w:r w:rsidRPr="004C131C">
        <w:rPr>
          <w:b/>
          <w:bCs/>
        </w:rPr>
        <w:t>Support Services MPOs</w:t>
      </w:r>
    </w:p>
    <w:p w14:paraId="6FD3E542" w14:textId="77777777" w:rsidR="00BA4A8C" w:rsidRPr="004C131C" w:rsidRDefault="00BA4A8C" w:rsidP="006641B6">
      <w:pPr>
        <w:pStyle w:val="ListParagraph"/>
        <w:numPr>
          <w:ilvl w:val="1"/>
          <w:numId w:val="79"/>
        </w:numPr>
        <w:ind w:left="1147"/>
      </w:pPr>
      <w:r w:rsidRPr="004C131C">
        <w:t>By the end of the 2013-14 school year and each year thereafter, 80% of migrant parents who received core academic homework/study support will report on a parent survey that the activities increased their ability to help their children with homework.</w:t>
      </w:r>
    </w:p>
    <w:p w14:paraId="2F0F0525" w14:textId="77777777" w:rsidR="00BA4A8C" w:rsidRPr="004C131C" w:rsidRDefault="00BA4A8C" w:rsidP="006641B6">
      <w:pPr>
        <w:pStyle w:val="ListParagraph"/>
        <w:numPr>
          <w:ilvl w:val="1"/>
          <w:numId w:val="79"/>
        </w:numPr>
        <w:ind w:left="1147"/>
      </w:pPr>
      <w:r w:rsidRPr="004C131C">
        <w:t>By the end of the 2013-14 school year and each year thereafter, 80% of migrant staff providing MEP support services will report on a staff survey that support services provided in their district (rated individually for each item provided in the list below) were effective in meeting student needs.</w:t>
      </w:r>
    </w:p>
    <w:p w14:paraId="6E453322" w14:textId="77777777" w:rsidR="00BA4A8C" w:rsidRPr="004C131C" w:rsidRDefault="00BA4A8C" w:rsidP="006641B6">
      <w:pPr>
        <w:pStyle w:val="ListParagraph"/>
        <w:numPr>
          <w:ilvl w:val="2"/>
          <w:numId w:val="76"/>
        </w:numPr>
      </w:pPr>
      <w:r w:rsidRPr="004C131C">
        <w:t>Support resources (books, school supplies, clothing, etc.)</w:t>
      </w:r>
    </w:p>
    <w:p w14:paraId="6FC77F42" w14:textId="77777777" w:rsidR="00BA4A8C" w:rsidRPr="004C131C" w:rsidRDefault="00BA4A8C" w:rsidP="006641B6">
      <w:pPr>
        <w:pStyle w:val="ListParagraph"/>
        <w:numPr>
          <w:ilvl w:val="2"/>
          <w:numId w:val="76"/>
        </w:numPr>
      </w:pPr>
      <w:r w:rsidRPr="004C131C">
        <w:t>Health, medical, dental, vision, and nutrition</w:t>
      </w:r>
    </w:p>
    <w:p w14:paraId="5369F3FF" w14:textId="77777777" w:rsidR="00BA4A8C" w:rsidRPr="004C131C" w:rsidRDefault="00BA4A8C" w:rsidP="006641B6">
      <w:pPr>
        <w:pStyle w:val="ListParagraph"/>
        <w:numPr>
          <w:ilvl w:val="2"/>
          <w:numId w:val="76"/>
        </w:numPr>
      </w:pPr>
      <w:r w:rsidRPr="004C131C">
        <w:t>Parent involvement</w:t>
      </w:r>
    </w:p>
    <w:p w14:paraId="22C26291" w14:textId="77777777" w:rsidR="00BA4A8C" w:rsidRPr="004C131C" w:rsidRDefault="00BA4A8C" w:rsidP="006641B6">
      <w:pPr>
        <w:pStyle w:val="ListParagraph"/>
        <w:numPr>
          <w:ilvl w:val="2"/>
          <w:numId w:val="76"/>
        </w:numPr>
      </w:pPr>
      <w:r w:rsidRPr="004C131C">
        <w:t>Referrals</w:t>
      </w:r>
    </w:p>
    <w:p w14:paraId="164C21DB" w14:textId="77777777" w:rsidR="00BA4A8C" w:rsidRPr="004C131C" w:rsidRDefault="00BA4A8C" w:rsidP="006641B6">
      <w:pPr>
        <w:pStyle w:val="ListParagraph"/>
        <w:numPr>
          <w:ilvl w:val="2"/>
          <w:numId w:val="76"/>
        </w:numPr>
      </w:pPr>
      <w:r w:rsidRPr="004C131C">
        <w:t>Transportation</w:t>
      </w:r>
    </w:p>
    <w:p w14:paraId="01BB857C" w14:textId="77777777" w:rsidR="00BA4A8C" w:rsidRPr="004C131C" w:rsidRDefault="00BA4A8C" w:rsidP="006641B6">
      <w:pPr>
        <w:pStyle w:val="ListParagraph"/>
        <w:numPr>
          <w:ilvl w:val="2"/>
          <w:numId w:val="76"/>
        </w:numPr>
      </w:pPr>
      <w:r w:rsidRPr="004C131C">
        <w:t>Counseling</w:t>
      </w:r>
    </w:p>
    <w:p w14:paraId="11FC9EFF" w14:textId="77777777" w:rsidR="00BA4A8C" w:rsidRPr="004C131C" w:rsidRDefault="00BA4A8C" w:rsidP="006641B6">
      <w:pPr>
        <w:pStyle w:val="ListParagraph"/>
        <w:numPr>
          <w:ilvl w:val="2"/>
          <w:numId w:val="76"/>
        </w:numPr>
      </w:pPr>
      <w:r w:rsidRPr="004C131C">
        <w:t>Advocacy</w:t>
      </w:r>
    </w:p>
    <w:p w14:paraId="236C51EA" w14:textId="77777777" w:rsidR="00BA4A8C" w:rsidRPr="004C131C" w:rsidRDefault="00BA4A8C" w:rsidP="006641B6">
      <w:pPr>
        <w:pStyle w:val="ListParagraph"/>
        <w:numPr>
          <w:ilvl w:val="1"/>
          <w:numId w:val="79"/>
        </w:numPr>
        <w:ind w:left="1147"/>
      </w:pPr>
      <w:r w:rsidRPr="004C131C">
        <w:t>By the end of the 2013-14 school year and each year thereafter, 80% of migrant parents who received information regarding MEP instruction and support services will report on a parent survey that the information helped them better advocate for their children in obtaining appropriate services.</w:t>
      </w:r>
    </w:p>
    <w:p w14:paraId="4DB44251" w14:textId="77777777" w:rsidR="00BA4A8C" w:rsidRPr="004C131C" w:rsidRDefault="00BA4A8C" w:rsidP="00760471">
      <w:r w:rsidRPr="004C131C">
        <w:t xml:space="preserve">During district level monitoring, DEED verifies that: </w:t>
      </w:r>
    </w:p>
    <w:p w14:paraId="1760F578" w14:textId="77777777" w:rsidR="00BA4A8C" w:rsidRPr="00094333" w:rsidRDefault="00BA4A8C" w:rsidP="006641B6">
      <w:pPr>
        <w:pStyle w:val="ListParagraph"/>
        <w:numPr>
          <w:ilvl w:val="0"/>
          <w:numId w:val="80"/>
        </w:numPr>
      </w:pPr>
      <w:r w:rsidRPr="00BC64BB">
        <w:t>The district has conducted a local needs assessment that:</w:t>
      </w:r>
    </w:p>
    <w:p w14:paraId="7DB5C07A" w14:textId="77777777" w:rsidR="00BA4A8C" w:rsidRPr="004C131C" w:rsidRDefault="00BA4A8C" w:rsidP="006641B6">
      <w:pPr>
        <w:pStyle w:val="ListParagraph"/>
        <w:numPr>
          <w:ilvl w:val="1"/>
          <w:numId w:val="77"/>
        </w:numPr>
      </w:pPr>
      <w:r w:rsidRPr="004C131C">
        <w:t xml:space="preserve">is aligned with the State Comprehensive Needs Assessment, and </w:t>
      </w:r>
    </w:p>
    <w:p w14:paraId="40A5F7E4" w14:textId="77777777" w:rsidR="00BA4A8C" w:rsidRPr="004C131C" w:rsidRDefault="00BA4A8C" w:rsidP="006641B6">
      <w:pPr>
        <w:pStyle w:val="ListParagraph"/>
        <w:numPr>
          <w:ilvl w:val="1"/>
          <w:numId w:val="77"/>
        </w:numPr>
      </w:pPr>
      <w:r w:rsidRPr="004C131C">
        <w:t xml:space="preserve">has identified the unique educational needs of migrant children and youth, including preschool migratory children and migratory children who have dropped out of school, </w:t>
      </w:r>
      <w:r w:rsidRPr="004C131C">
        <w:lastRenderedPageBreak/>
        <w:t>that result from the migratory lifestyle and other needs of migratory children that must be met in order for them to participate effectively in school.</w:t>
      </w:r>
    </w:p>
    <w:p w14:paraId="3A23AB23" w14:textId="77777777" w:rsidR="00BA4A8C" w:rsidRPr="004C131C" w:rsidRDefault="00BA4A8C" w:rsidP="006641B6">
      <w:pPr>
        <w:pStyle w:val="ListParagraph"/>
        <w:numPr>
          <w:ilvl w:val="0"/>
          <w:numId w:val="80"/>
        </w:numPr>
      </w:pPr>
      <w:r w:rsidRPr="004C131C">
        <w:t>The district has developed a local service delivery plan for migrant students that:</w:t>
      </w:r>
    </w:p>
    <w:p w14:paraId="0569383B" w14:textId="77777777" w:rsidR="00BA4A8C" w:rsidRPr="004C131C" w:rsidRDefault="00BA4A8C" w:rsidP="006641B6">
      <w:pPr>
        <w:pStyle w:val="ListParagraph"/>
        <w:numPr>
          <w:ilvl w:val="1"/>
          <w:numId w:val="77"/>
        </w:numPr>
      </w:pPr>
      <w:r w:rsidRPr="004C131C">
        <w:t>addresses the unique educational needs of migrant children and youth including preschool migratory children and migratory children who have dropped out of school, as identified in the needs assessment;</w:t>
      </w:r>
    </w:p>
    <w:p w14:paraId="309EF318" w14:textId="77777777" w:rsidR="00BA4A8C" w:rsidRPr="004C131C" w:rsidRDefault="00BA4A8C" w:rsidP="006641B6">
      <w:pPr>
        <w:pStyle w:val="ListParagraph"/>
        <w:numPr>
          <w:ilvl w:val="1"/>
          <w:numId w:val="77"/>
        </w:numPr>
      </w:pPr>
      <w:r w:rsidRPr="004C131C">
        <w:t>includes performance targets and measurable outcomes in order to meet the same challenging state academic content and achievement standards that all children are expected to meet;</w:t>
      </w:r>
    </w:p>
    <w:p w14:paraId="5CE0BA61" w14:textId="77777777" w:rsidR="00BA4A8C" w:rsidRPr="004C131C" w:rsidRDefault="00BA4A8C" w:rsidP="006641B6">
      <w:pPr>
        <w:pStyle w:val="ListParagraph"/>
        <w:numPr>
          <w:ilvl w:val="1"/>
          <w:numId w:val="77"/>
        </w:numPr>
      </w:pPr>
      <w:r w:rsidRPr="004C131C">
        <w:t>encompasses the full range of services that are available for migrant children and youth from appropriate local, state, and federal educational programs and provides for integration of services, as appropriate;</w:t>
      </w:r>
    </w:p>
    <w:p w14:paraId="345B1333" w14:textId="77777777" w:rsidR="00BA4A8C" w:rsidRPr="004C131C" w:rsidRDefault="00BA4A8C" w:rsidP="006641B6">
      <w:pPr>
        <w:pStyle w:val="ListParagraph"/>
        <w:numPr>
          <w:ilvl w:val="1"/>
          <w:numId w:val="77"/>
        </w:numPr>
      </w:pPr>
      <w:r w:rsidRPr="004C131C">
        <w:t>is the product of joint planning among such local, state, and federal programs, including programs under Title I-A, early childhood programs, and language instruction educational programs under Title III; and</w:t>
      </w:r>
    </w:p>
    <w:p w14:paraId="24FC5DF3" w14:textId="77777777" w:rsidR="00BA4A8C" w:rsidRPr="004C131C" w:rsidRDefault="00BA4A8C" w:rsidP="006641B6">
      <w:pPr>
        <w:pStyle w:val="ListParagraph"/>
        <w:numPr>
          <w:ilvl w:val="1"/>
          <w:numId w:val="77"/>
        </w:numPr>
      </w:pPr>
      <w:r w:rsidRPr="004C131C">
        <w:t>aligns with the State Service Delivery Plan</w:t>
      </w:r>
    </w:p>
    <w:p w14:paraId="4FE1B7B1" w14:textId="77777777" w:rsidR="00CE3AFB" w:rsidRDefault="00BA4A8C" w:rsidP="00CE3AFB">
      <w:r w:rsidRPr="004C131C">
        <w:t>In planning and carrying out programs funded with I-C funds, there has been, and will be, adequate provision for addressing the unmet needs of preschool migratory children and migratory children who have dropped out of school.</w:t>
      </w:r>
    </w:p>
    <w:p w14:paraId="065388CE" w14:textId="7143EF58" w:rsidR="00CE3AFB" w:rsidRPr="00CE3AFB" w:rsidRDefault="00BA4A8C" w:rsidP="00CE3AFB">
      <w:pPr>
        <w:pStyle w:val="Heading2"/>
        <w:numPr>
          <w:ilvl w:val="0"/>
          <w:numId w:val="27"/>
        </w:numPr>
        <w:ind w:left="720"/>
        <w:rPr>
          <w:rStyle w:val="Heading2Char"/>
          <w:b/>
        </w:rPr>
      </w:pPr>
      <w:r w:rsidRPr="00CE3AFB">
        <w:rPr>
          <w:rStyle w:val="Heading2Char"/>
          <w:b/>
        </w:rPr>
        <w:t>Promote Coordination of Services</w:t>
      </w:r>
    </w:p>
    <w:p w14:paraId="79B8A468" w14:textId="6EDBEE58" w:rsidR="00BA4A8C" w:rsidRPr="00A131B9" w:rsidRDefault="00BA4A8C" w:rsidP="00CE3AFB">
      <w:pPr>
        <w:rPr>
          <w:rFonts w:ascii="Calibri" w:hAnsi="Calibri"/>
        </w:rPr>
      </w:pPr>
      <w:proofErr w:type="gramStart"/>
      <w:r w:rsidRPr="00A131B9">
        <w:rPr>
          <w:rFonts w:ascii="Calibri" w:hAnsi="Calibri"/>
        </w:rPr>
        <w:t>(</w:t>
      </w:r>
      <w:r w:rsidRPr="00A131B9">
        <w:rPr>
          <w:rFonts w:ascii="Calibri" w:hAnsi="Calibri"/>
          <w:i/>
          <w:iCs/>
        </w:rPr>
        <w:t>ESEA section 1304(b)(3))</w:t>
      </w:r>
      <w:r w:rsidRPr="00A131B9">
        <w:rPr>
          <w:rFonts w:ascii="Calibri" w:hAnsi="Calibri"/>
        </w:rPr>
        <w:t>: Describe how the State will use Title I, Part C funds received under this part to promote interstate and intrastate coordination of services for migratory children, including how the State will provide for educational continuity through the timely transfer of pertinent school records, including information on health, when children move from one school to another, whether or not such move occurs during the regular school year.</w:t>
      </w:r>
      <w:proofErr w:type="gramEnd"/>
      <w:r w:rsidRPr="00A131B9">
        <w:rPr>
          <w:rFonts w:ascii="Calibri" w:hAnsi="Calibri"/>
        </w:rPr>
        <w:t xml:space="preserve"> </w:t>
      </w:r>
    </w:p>
    <w:p w14:paraId="72DEED5C" w14:textId="77777777" w:rsidR="00BA4A8C" w:rsidRPr="005D56CD" w:rsidRDefault="00BA4A8C" w:rsidP="00424E73">
      <w:pPr>
        <w:rPr>
          <w:rFonts w:ascii="Calibri" w:hAnsi="Calibri"/>
        </w:rPr>
      </w:pPr>
      <w:r>
        <w:rPr>
          <w:rFonts w:ascii="Calibri" w:hAnsi="Calibri"/>
        </w:rPr>
        <w:t>DEED</w:t>
      </w:r>
      <w:r w:rsidRPr="005D56CD">
        <w:rPr>
          <w:rFonts w:ascii="Calibri" w:hAnsi="Calibri"/>
        </w:rPr>
        <w:t xml:space="preserve"> participates </w:t>
      </w:r>
      <w:r>
        <w:rPr>
          <w:rFonts w:ascii="Calibri" w:hAnsi="Calibri"/>
        </w:rPr>
        <w:t>in</w:t>
      </w:r>
      <w:r w:rsidRPr="005D56CD">
        <w:rPr>
          <w:rFonts w:ascii="Calibri" w:hAnsi="Calibri"/>
        </w:rPr>
        <w:t xml:space="preserve"> several multistate consortia that seek to improve the identification and recruitment, policies, pertinent record transfer, and educational services for migrant students:</w:t>
      </w:r>
    </w:p>
    <w:p w14:paraId="6D44CCAB" w14:textId="77777777" w:rsidR="00BA4A8C" w:rsidRPr="005D56CD" w:rsidRDefault="00BA4A8C" w:rsidP="00BA1524">
      <w:pPr>
        <w:numPr>
          <w:ilvl w:val="0"/>
          <w:numId w:val="28"/>
        </w:numPr>
        <w:rPr>
          <w:rFonts w:ascii="Calibri" w:hAnsi="Calibri"/>
        </w:rPr>
      </w:pPr>
      <w:r w:rsidRPr="005D56CD">
        <w:rPr>
          <w:rFonts w:ascii="Calibri" w:hAnsi="Calibri"/>
          <w:b/>
        </w:rPr>
        <w:t>The Interstate Migrant Education Council (IMEC)</w:t>
      </w:r>
      <w:r w:rsidRPr="005D56CD">
        <w:rPr>
          <w:rFonts w:ascii="Calibri" w:hAnsi="Calibri"/>
        </w:rPr>
        <w:t xml:space="preserve"> – An independent organization </w:t>
      </w:r>
      <w:r>
        <w:rPr>
          <w:rFonts w:ascii="Calibri" w:hAnsi="Calibri"/>
        </w:rPr>
        <w:t xml:space="preserve">established </w:t>
      </w:r>
      <w:r w:rsidRPr="005D56CD">
        <w:rPr>
          <w:rFonts w:ascii="Calibri" w:hAnsi="Calibri"/>
        </w:rPr>
        <w:t xml:space="preserve">to advocate policies that ensure the highest quality education and other needed services for migrant children, </w:t>
      </w:r>
      <w:r>
        <w:rPr>
          <w:rFonts w:ascii="Calibri" w:hAnsi="Calibri"/>
        </w:rPr>
        <w:t xml:space="preserve">and </w:t>
      </w:r>
      <w:r w:rsidRPr="005D56CD">
        <w:rPr>
          <w:rFonts w:ascii="Calibri" w:hAnsi="Calibri"/>
        </w:rPr>
        <w:t>facilitate opportunities for members to examine policy issues at all levels of government related to coordination between public and private agencies to benefit migrant students and programs.</w:t>
      </w:r>
    </w:p>
    <w:p w14:paraId="036CABD8" w14:textId="77777777" w:rsidR="00BA4A8C" w:rsidRPr="005D56CD" w:rsidRDefault="00BA4A8C" w:rsidP="00BA1524">
      <w:pPr>
        <w:numPr>
          <w:ilvl w:val="0"/>
          <w:numId w:val="28"/>
        </w:numPr>
        <w:rPr>
          <w:rFonts w:ascii="Calibri" w:hAnsi="Calibri"/>
        </w:rPr>
      </w:pPr>
      <w:r w:rsidRPr="005D56CD">
        <w:rPr>
          <w:rFonts w:ascii="Calibri" w:hAnsi="Calibri"/>
          <w:b/>
        </w:rPr>
        <w:t xml:space="preserve">National Association of State Directors of Migrant Education (NASDME) </w:t>
      </w:r>
      <w:r w:rsidRPr="005D56CD">
        <w:rPr>
          <w:rFonts w:ascii="Calibri" w:hAnsi="Calibri"/>
        </w:rPr>
        <w:t>– This association provides the largest national conference for the migrant program. State directors meet to discuss issues affecting migrant students and families, and ov</w:t>
      </w:r>
      <w:r>
        <w:rPr>
          <w:rFonts w:ascii="Calibri" w:hAnsi="Calibri"/>
        </w:rPr>
        <w:t>er 170 sessions are held</w:t>
      </w:r>
      <w:r w:rsidRPr="005D56CD">
        <w:rPr>
          <w:rFonts w:ascii="Calibri" w:hAnsi="Calibri"/>
        </w:rPr>
        <w:t xml:space="preserve"> to highlight best practices in migrant programs. </w:t>
      </w:r>
    </w:p>
    <w:p w14:paraId="7B092A59" w14:textId="77777777" w:rsidR="00BA4A8C" w:rsidRPr="005D56CD" w:rsidRDefault="00BA4A8C" w:rsidP="00BA1524">
      <w:pPr>
        <w:numPr>
          <w:ilvl w:val="0"/>
          <w:numId w:val="28"/>
        </w:numPr>
        <w:rPr>
          <w:rFonts w:ascii="Calibri" w:hAnsi="Calibri"/>
        </w:rPr>
      </w:pPr>
      <w:r w:rsidRPr="005D56CD">
        <w:rPr>
          <w:rFonts w:ascii="Calibri" w:hAnsi="Calibri"/>
          <w:b/>
        </w:rPr>
        <w:t xml:space="preserve">Title I-C Migrant Education Program Directors’ Meeting </w:t>
      </w:r>
      <w:r w:rsidRPr="005D56CD">
        <w:rPr>
          <w:rFonts w:ascii="Calibri" w:hAnsi="Calibri"/>
        </w:rPr>
        <w:t xml:space="preserve">– Annual meeting for Title I-C </w:t>
      </w:r>
      <w:r>
        <w:rPr>
          <w:rFonts w:ascii="Calibri" w:hAnsi="Calibri"/>
        </w:rPr>
        <w:t xml:space="preserve">State </w:t>
      </w:r>
      <w:r w:rsidRPr="005D56CD">
        <w:rPr>
          <w:rFonts w:ascii="Calibri" w:hAnsi="Calibri"/>
        </w:rPr>
        <w:t>Directors that</w:t>
      </w:r>
      <w:r>
        <w:rPr>
          <w:rFonts w:ascii="Calibri" w:hAnsi="Calibri"/>
        </w:rPr>
        <w:t>:</w:t>
      </w:r>
      <w:r w:rsidRPr="005D56CD">
        <w:rPr>
          <w:rFonts w:ascii="Calibri" w:hAnsi="Calibri"/>
        </w:rPr>
        <w:t xml:space="preserve"> 1) facilitates opportunities for Directors to network and share best practices and resources, 2) provides Directors with information pertinent to the State administration and operation of the Migrant Education Program (MEP), 3) promotes the understanding of, and coordination with, other ED initiatives and programs, and 4) provides Directors and Office of </w:t>
      </w:r>
      <w:r w:rsidRPr="005D56CD">
        <w:rPr>
          <w:rFonts w:ascii="Calibri" w:hAnsi="Calibri"/>
        </w:rPr>
        <w:lastRenderedPageBreak/>
        <w:t>Migrant Education (OME) personnel with opportunities to coordinate on issues important to the successful design and implementation of programs and services that benefit migrant students.</w:t>
      </w:r>
    </w:p>
    <w:p w14:paraId="29AA90F8" w14:textId="77777777" w:rsidR="00BA4A8C" w:rsidRPr="005D56CD" w:rsidRDefault="00BA4A8C" w:rsidP="00BA1524">
      <w:pPr>
        <w:numPr>
          <w:ilvl w:val="0"/>
          <w:numId w:val="28"/>
        </w:numPr>
        <w:rPr>
          <w:rFonts w:ascii="Calibri" w:hAnsi="Calibri"/>
        </w:rPr>
      </w:pPr>
      <w:r w:rsidRPr="005D56CD">
        <w:rPr>
          <w:rFonts w:ascii="Calibri" w:hAnsi="Calibri"/>
          <w:b/>
        </w:rPr>
        <w:t>MIS2000</w:t>
      </w:r>
      <w:r w:rsidRPr="005D56CD">
        <w:rPr>
          <w:rFonts w:ascii="Calibri" w:hAnsi="Calibri"/>
          <w:i/>
        </w:rPr>
        <w:t xml:space="preserve"> </w:t>
      </w:r>
      <w:r w:rsidRPr="005D56CD">
        <w:rPr>
          <w:rFonts w:ascii="Calibri" w:hAnsi="Calibri"/>
        </w:rPr>
        <w:t>– Alaska’s Migrant Education Student Database created by Management Services for Education Data (MS/</w:t>
      </w:r>
      <w:proofErr w:type="spellStart"/>
      <w:r w:rsidRPr="005D56CD">
        <w:rPr>
          <w:rFonts w:ascii="Calibri" w:hAnsi="Calibri"/>
        </w:rPr>
        <w:t>EdD</w:t>
      </w:r>
      <w:proofErr w:type="spellEnd"/>
      <w:r w:rsidRPr="005D56CD">
        <w:rPr>
          <w:rFonts w:ascii="Calibri" w:hAnsi="Calibri"/>
        </w:rPr>
        <w:t xml:space="preserve">). MIS2000 houses Alaska’s migrant student information and connects to MSIX, the national student exchange system. </w:t>
      </w:r>
    </w:p>
    <w:p w14:paraId="0F883EA8" w14:textId="77777777" w:rsidR="00BA4A8C" w:rsidRPr="005D56CD" w:rsidRDefault="00BA4A8C" w:rsidP="00BA1524">
      <w:pPr>
        <w:numPr>
          <w:ilvl w:val="0"/>
          <w:numId w:val="28"/>
        </w:numPr>
        <w:rPr>
          <w:rFonts w:ascii="Calibri" w:hAnsi="Calibri"/>
        </w:rPr>
      </w:pPr>
      <w:r w:rsidRPr="005D56CD">
        <w:rPr>
          <w:rFonts w:ascii="Calibri" w:hAnsi="Calibri"/>
          <w:b/>
        </w:rPr>
        <w:t>National Migrant Student Exchange System (MSIX)</w:t>
      </w:r>
      <w:r w:rsidRPr="005D56CD">
        <w:rPr>
          <w:rFonts w:ascii="Calibri" w:hAnsi="Calibri"/>
        </w:rPr>
        <w:t xml:space="preserve"> – </w:t>
      </w:r>
      <w:r>
        <w:rPr>
          <w:rFonts w:ascii="Calibri" w:hAnsi="Calibri"/>
        </w:rPr>
        <w:t>This database</w:t>
      </w:r>
      <w:r w:rsidRPr="005D56CD">
        <w:rPr>
          <w:rFonts w:ascii="Calibri" w:hAnsi="Calibri"/>
        </w:rPr>
        <w:t xml:space="preserve"> allows States to share educational and health information on migrant children who travel from </w:t>
      </w:r>
      <w:r>
        <w:rPr>
          <w:rFonts w:ascii="Calibri" w:hAnsi="Calibri"/>
        </w:rPr>
        <w:t>s</w:t>
      </w:r>
      <w:r w:rsidRPr="005D56CD">
        <w:rPr>
          <w:rFonts w:ascii="Calibri" w:hAnsi="Calibri"/>
        </w:rPr>
        <w:t xml:space="preserve">tate to </w:t>
      </w:r>
      <w:r>
        <w:rPr>
          <w:rFonts w:ascii="Calibri" w:hAnsi="Calibri"/>
        </w:rPr>
        <w:t>s</w:t>
      </w:r>
      <w:r w:rsidRPr="005D56CD">
        <w:rPr>
          <w:rFonts w:ascii="Calibri" w:hAnsi="Calibri"/>
        </w:rPr>
        <w:t>tate and who as a result, have student records in multiple States' information systems. MSIX works in concert with the Alaska Migrant Student Database, MIS2000, to fulfill its mission to ensure the appropriate enrollment, placement, and accrual of credits for migrant children nationwide.</w:t>
      </w:r>
    </w:p>
    <w:p w14:paraId="22096D94" w14:textId="77777777" w:rsidR="00BA4A8C" w:rsidRPr="005D56CD" w:rsidRDefault="00BA4A8C" w:rsidP="00424E73">
      <w:pPr>
        <w:rPr>
          <w:rFonts w:ascii="Calibri" w:hAnsi="Calibri"/>
        </w:rPr>
      </w:pPr>
      <w:r w:rsidRPr="005D56CD">
        <w:rPr>
          <w:rFonts w:ascii="Calibri" w:hAnsi="Calibri"/>
        </w:rPr>
        <w:t xml:space="preserve">During district level monitoring, </w:t>
      </w:r>
      <w:r>
        <w:rPr>
          <w:rFonts w:ascii="Calibri" w:hAnsi="Calibri"/>
        </w:rPr>
        <w:t>DEED</w:t>
      </w:r>
      <w:r w:rsidRPr="005D56CD">
        <w:rPr>
          <w:rFonts w:ascii="Calibri" w:hAnsi="Calibri"/>
        </w:rPr>
        <w:t xml:space="preserve"> verifies that the district promotes interstate and intrastate coordination of services for migrant students including:</w:t>
      </w:r>
    </w:p>
    <w:p w14:paraId="5EBD9DC1" w14:textId="77777777" w:rsidR="00BA4A8C" w:rsidRPr="005D56CD" w:rsidRDefault="00BA4A8C" w:rsidP="00BA1524">
      <w:pPr>
        <w:numPr>
          <w:ilvl w:val="0"/>
          <w:numId w:val="29"/>
        </w:numPr>
        <w:rPr>
          <w:rFonts w:ascii="Calibri" w:hAnsi="Calibri"/>
        </w:rPr>
      </w:pPr>
      <w:r w:rsidRPr="005D56CD">
        <w:rPr>
          <w:rFonts w:ascii="Calibri" w:hAnsi="Calibri"/>
        </w:rPr>
        <w:t>providing for</w:t>
      </w:r>
      <w:r>
        <w:rPr>
          <w:rFonts w:ascii="Calibri" w:hAnsi="Calibri"/>
        </w:rPr>
        <w:t xml:space="preserve"> the </w:t>
      </w:r>
      <w:r w:rsidRPr="005D56CD">
        <w:rPr>
          <w:rFonts w:ascii="Calibri" w:hAnsi="Calibri"/>
        </w:rPr>
        <w:t xml:space="preserve">educational continuity </w:t>
      </w:r>
      <w:r>
        <w:rPr>
          <w:rFonts w:ascii="Calibri" w:hAnsi="Calibri"/>
        </w:rPr>
        <w:t xml:space="preserve">of migrant students </w:t>
      </w:r>
      <w:r w:rsidRPr="005D56CD">
        <w:rPr>
          <w:rFonts w:ascii="Calibri" w:hAnsi="Calibri"/>
        </w:rPr>
        <w:t>through the timely transfer of pertinent student records, including health records (whether or not the move occurs during the regular school year);</w:t>
      </w:r>
      <w:r>
        <w:rPr>
          <w:rFonts w:ascii="Calibri" w:hAnsi="Calibri"/>
        </w:rPr>
        <w:t xml:space="preserve"> and</w:t>
      </w:r>
    </w:p>
    <w:p w14:paraId="2B59F0E5" w14:textId="77777777" w:rsidR="00BA4A8C" w:rsidRPr="00DB3869" w:rsidRDefault="00BA4A8C" w:rsidP="00BA1524">
      <w:pPr>
        <w:pStyle w:val="ListParagraph"/>
        <w:numPr>
          <w:ilvl w:val="0"/>
          <w:numId w:val="29"/>
        </w:numPr>
      </w:pPr>
      <w:proofErr w:type="gramStart"/>
      <w:r w:rsidRPr="005D56CD">
        <w:rPr>
          <w:rFonts w:ascii="Calibri" w:hAnsi="Calibri"/>
        </w:rPr>
        <w:t>establishing</w:t>
      </w:r>
      <w:proofErr w:type="gramEnd"/>
      <w:r w:rsidRPr="005D56CD">
        <w:rPr>
          <w:rFonts w:ascii="Calibri" w:hAnsi="Calibri"/>
        </w:rPr>
        <w:t xml:space="preserve"> a procedure to coordinate services and records transfers with surrounding districts or districts that </w:t>
      </w:r>
      <w:r>
        <w:rPr>
          <w:rFonts w:ascii="Calibri" w:hAnsi="Calibri"/>
        </w:rPr>
        <w:t>migrant</w:t>
      </w:r>
      <w:r w:rsidRPr="005D56CD">
        <w:rPr>
          <w:rFonts w:ascii="Calibri" w:hAnsi="Calibri"/>
        </w:rPr>
        <w:t xml:space="preserve"> students move to/from</w:t>
      </w:r>
      <w:r>
        <w:rPr>
          <w:rFonts w:ascii="Calibri" w:hAnsi="Calibri"/>
        </w:rPr>
        <w:t>,</w:t>
      </w:r>
      <w:r w:rsidRPr="005D56CD">
        <w:rPr>
          <w:rFonts w:ascii="Calibri" w:hAnsi="Calibri"/>
        </w:rPr>
        <w:t xml:space="preserve"> and meeting all deadlines for the submission of student records and data in MIS2000.</w:t>
      </w:r>
    </w:p>
    <w:p w14:paraId="347B5DBB" w14:textId="77777777" w:rsidR="00BA4A8C" w:rsidRDefault="00BA4A8C" w:rsidP="00DB3869">
      <w:pPr>
        <w:pStyle w:val="ListParagraph"/>
        <w:spacing w:after="160"/>
      </w:pPr>
    </w:p>
    <w:p w14:paraId="0EE3409E" w14:textId="034EC9E2" w:rsidR="00CE3AFB" w:rsidRDefault="00BA4A8C" w:rsidP="00CE3AFB">
      <w:pPr>
        <w:pStyle w:val="Heading2"/>
        <w:numPr>
          <w:ilvl w:val="0"/>
          <w:numId w:val="27"/>
        </w:numPr>
        <w:ind w:left="720"/>
      </w:pPr>
      <w:r w:rsidRPr="00F72EC2">
        <w:t>Use of</w:t>
      </w:r>
      <w:r w:rsidRPr="00A131B9">
        <w:t xml:space="preserve"> </w:t>
      </w:r>
      <w:r w:rsidRPr="00F72EC2">
        <w:t>Funds</w:t>
      </w:r>
    </w:p>
    <w:p w14:paraId="7BC78EEB" w14:textId="5185A3A1" w:rsidR="00BA4A8C" w:rsidRPr="00A131B9" w:rsidRDefault="00BA4A8C" w:rsidP="00CE3AFB">
      <w:pPr>
        <w:pStyle w:val="Default"/>
        <w:spacing w:after="120"/>
        <w:ind w:left="360"/>
        <w:rPr>
          <w:rFonts w:ascii="Calibri" w:hAnsi="Calibri"/>
          <w:sz w:val="22"/>
          <w:szCs w:val="22"/>
        </w:rPr>
      </w:pPr>
      <w:r w:rsidRPr="00A131B9">
        <w:rPr>
          <w:rFonts w:ascii="Calibri" w:hAnsi="Calibri"/>
          <w:i/>
          <w:iCs/>
          <w:sz w:val="22"/>
          <w:szCs w:val="22"/>
        </w:rPr>
        <w:t>(ESEA section 1304(b)(4))</w:t>
      </w:r>
      <w:r w:rsidRPr="00A131B9">
        <w:rPr>
          <w:rFonts w:ascii="Calibri" w:hAnsi="Calibri"/>
          <w:sz w:val="22"/>
          <w:szCs w:val="22"/>
        </w:rPr>
        <w:t xml:space="preserve">: Describe the State’s priorities for the use of Title I, Part C funds, and how such priorities relate to the State’s assessment of needs for services in the State. </w:t>
      </w:r>
    </w:p>
    <w:p w14:paraId="1A078A22" w14:textId="77777777" w:rsidR="00BA4A8C" w:rsidRPr="005D56CD" w:rsidRDefault="00BA4A8C" w:rsidP="00CE3AFB">
      <w:r w:rsidRPr="005D56CD">
        <w:t>Grants under Title I, Part C</w:t>
      </w:r>
      <w:r>
        <w:t>,</w:t>
      </w:r>
      <w:r w:rsidRPr="005D56CD">
        <w:t xml:space="preserve"> </w:t>
      </w:r>
      <w:proofErr w:type="gramStart"/>
      <w:r w:rsidRPr="005D56CD">
        <w:t>Education</w:t>
      </w:r>
      <w:proofErr w:type="gramEnd"/>
      <w:r w:rsidRPr="005D56CD">
        <w:t xml:space="preserve"> of Migratory Children are issued to districts </w:t>
      </w:r>
      <w:r>
        <w:t>through</w:t>
      </w:r>
      <w:r w:rsidRPr="005D56CD">
        <w:t xml:space="preserve"> an allocation, not through a competitive process. The allocation formula is largely based on the number of migrant eligible students, services provided to migratory children and youth, number of students identified as “priority for services”</w:t>
      </w:r>
      <w:r>
        <w:t>,</w:t>
      </w:r>
      <w:r w:rsidRPr="005D56CD">
        <w:t xml:space="preserve"> and academic needs according to a weighted formula. </w:t>
      </w:r>
    </w:p>
    <w:p w14:paraId="0E80EDF0" w14:textId="77777777" w:rsidR="00BA4A8C" w:rsidRPr="005D56CD" w:rsidRDefault="00BA4A8C" w:rsidP="00CE3AFB">
      <w:r w:rsidRPr="005D56CD">
        <w:t>District Title I-C grant planning is included in the ESEA Consolidated Application that districts submit to DEED annually. Districts submit their applications in the summer of each year, and after approval</w:t>
      </w:r>
      <w:r>
        <w:t>,</w:t>
      </w:r>
      <w:r w:rsidRPr="005D56CD">
        <w:t xml:space="preserve"> they receive a grant award for operation of the program as outlined in their application. </w:t>
      </w:r>
    </w:p>
    <w:p w14:paraId="19FB45AA" w14:textId="77777777" w:rsidR="00BA4A8C" w:rsidRPr="005D56CD" w:rsidRDefault="00BA4A8C" w:rsidP="00CE3AFB">
      <w:r>
        <w:t>DEED</w:t>
      </w:r>
      <w:r w:rsidRPr="005D56CD">
        <w:t xml:space="preserve"> works with stakeholders to create a State CNA of the migratory children in Alaska. The CNA guides the design for the Alaska Migrant Education Program. Based on the State CNA, </w:t>
      </w:r>
      <w:r>
        <w:t>DEED,</w:t>
      </w:r>
      <w:r w:rsidRPr="005D56CD">
        <w:t xml:space="preserve"> with the assistance of consultants and stakeholders, creates a Service Delivery Plan (SDP) to meet the identified needs from the CNA. Districts are required to create local needs assessments and service delivery plans that align to the State guiding documents. </w:t>
      </w:r>
    </w:p>
    <w:p w14:paraId="09BC1FDC" w14:textId="77777777" w:rsidR="00BA4A8C" w:rsidRPr="005D56CD" w:rsidRDefault="00BA4A8C" w:rsidP="00424E73">
      <w:pPr>
        <w:rPr>
          <w:rFonts w:ascii="Calibri" w:hAnsi="Calibri"/>
        </w:rPr>
      </w:pPr>
      <w:r w:rsidRPr="005D56CD">
        <w:rPr>
          <w:rFonts w:ascii="Calibri" w:hAnsi="Calibri"/>
        </w:rPr>
        <w:t xml:space="preserve">Each district’s sub-grant must be aligned with the State CNA and SDP. Districts provide services specified in the plan in communities where migrant families are living. Supplemental education and support services are provided to respond to the unique needs of migrant children and youth. These needs are not addressed through existing </w:t>
      </w:r>
      <w:r>
        <w:rPr>
          <w:rFonts w:ascii="Calibri" w:hAnsi="Calibri"/>
        </w:rPr>
        <w:t>S</w:t>
      </w:r>
      <w:r w:rsidRPr="005D56CD">
        <w:rPr>
          <w:rFonts w:ascii="Calibri" w:hAnsi="Calibri"/>
        </w:rPr>
        <w:t>tate, local, and federal educational programs</w:t>
      </w:r>
      <w:r>
        <w:rPr>
          <w:rFonts w:ascii="Calibri" w:hAnsi="Calibri"/>
        </w:rPr>
        <w:t xml:space="preserve">. These </w:t>
      </w:r>
      <w:r w:rsidRPr="005D56CD">
        <w:rPr>
          <w:rFonts w:ascii="Calibri" w:hAnsi="Calibri"/>
        </w:rPr>
        <w:t>supplemental services are designed to provide continuity of instruction for students who move from one school district or state to another.</w:t>
      </w:r>
    </w:p>
    <w:p w14:paraId="5B39B978" w14:textId="77777777" w:rsidR="00CE3AFB" w:rsidRDefault="00BA4A8C" w:rsidP="00CE3AFB">
      <w:r w:rsidRPr="005D56CD">
        <w:lastRenderedPageBreak/>
        <w:t>The Title I, Part C grant application requires loca</w:t>
      </w:r>
      <w:r>
        <w:t>l</w:t>
      </w:r>
      <w:r w:rsidRPr="005D56CD">
        <w:t>l</w:t>
      </w:r>
      <w:r>
        <w:t>y</w:t>
      </w:r>
      <w:r w:rsidRPr="005D56CD">
        <w:t xml:space="preserve"> funded districts to describe how they give priority for service to children and youth identified as “priority for services”</w:t>
      </w:r>
      <w:r>
        <w:t>,</w:t>
      </w:r>
      <w:r w:rsidRPr="005D56CD">
        <w:t xml:space="preserve"> and how they provide services that address the unique needs of migratory children in accordance with the Alaska </w:t>
      </w:r>
      <w:r>
        <w:t>SDP</w:t>
      </w:r>
      <w:r w:rsidRPr="005D56CD">
        <w:t>.</w:t>
      </w:r>
      <w:bookmarkStart w:id="11" w:name="_Toc6231628"/>
    </w:p>
    <w:p w14:paraId="50B31504" w14:textId="77777777" w:rsidR="00CE3AFB" w:rsidRDefault="00CE3AFB">
      <w:pPr>
        <w:spacing w:after="160"/>
      </w:pPr>
      <w:r>
        <w:br w:type="page"/>
      </w:r>
    </w:p>
    <w:p w14:paraId="332463E2" w14:textId="77777777" w:rsidR="00CE3AFB" w:rsidRDefault="00424E73" w:rsidP="00CE3AFB">
      <w:pPr>
        <w:pStyle w:val="Heading1"/>
        <w:numPr>
          <w:ilvl w:val="0"/>
          <w:numId w:val="72"/>
        </w:numPr>
      </w:pPr>
      <w:r>
        <w:lastRenderedPageBreak/>
        <w:t>Title I, Part</w:t>
      </w:r>
      <w:r w:rsidR="00CE3AFB">
        <w:t xml:space="preserve"> D: Prevention and Intervention</w:t>
      </w:r>
    </w:p>
    <w:p w14:paraId="253976E0" w14:textId="68CD9D9C" w:rsidR="00424E73" w:rsidRPr="00CE3AFB" w:rsidRDefault="00424E73" w:rsidP="00CE3AFB">
      <w:pPr>
        <w:ind w:left="360"/>
        <w:rPr>
          <w:b/>
          <w:sz w:val="32"/>
          <w:szCs w:val="32"/>
        </w:rPr>
      </w:pPr>
      <w:r w:rsidRPr="00CE3AFB">
        <w:rPr>
          <w:b/>
          <w:sz w:val="32"/>
          <w:szCs w:val="32"/>
        </w:rPr>
        <w:t>Programs for Children and Youth who are Neglected, Delinquent, or At-Risk</w:t>
      </w:r>
      <w:bookmarkEnd w:id="11"/>
    </w:p>
    <w:p w14:paraId="0C03C32E" w14:textId="5B52FD85" w:rsidR="00CE3AFB" w:rsidRDefault="00BA4A8C" w:rsidP="00CE3AFB">
      <w:pPr>
        <w:pStyle w:val="Heading2"/>
        <w:numPr>
          <w:ilvl w:val="0"/>
          <w:numId w:val="96"/>
        </w:numPr>
      </w:pPr>
      <w:r w:rsidRPr="00A306F8">
        <w:t xml:space="preserve">Transitions </w:t>
      </w:r>
      <w:proofErr w:type="gramStart"/>
      <w:r w:rsidRPr="00A306F8">
        <w:t>Between</w:t>
      </w:r>
      <w:proofErr w:type="gramEnd"/>
      <w:r w:rsidRPr="00A306F8">
        <w:t xml:space="preserve"> Correctional Facilities and Local Programs</w:t>
      </w:r>
    </w:p>
    <w:p w14:paraId="4569FD41" w14:textId="37567CF0" w:rsidR="00BA4A8C" w:rsidRPr="00A306F8" w:rsidRDefault="00BA4A8C" w:rsidP="00CE3AFB">
      <w:pPr>
        <w:autoSpaceDE w:val="0"/>
        <w:autoSpaceDN w:val="0"/>
        <w:adjustRightInd w:val="0"/>
        <w:ind w:left="360"/>
        <w:rPr>
          <w:rFonts w:ascii="Calibri" w:hAnsi="Calibri" w:cs="Times New Roman"/>
          <w:color w:val="000000"/>
        </w:rPr>
      </w:pPr>
      <w:r w:rsidRPr="00A306F8">
        <w:rPr>
          <w:rFonts w:ascii="Calibri" w:hAnsi="Calibri" w:cs="Times New Roman"/>
          <w:i/>
          <w:iCs/>
          <w:color w:val="000000"/>
        </w:rPr>
        <w:t>(ESEA section 1414(a</w:t>
      </w:r>
      <w:proofErr w:type="gramStart"/>
      <w:r w:rsidRPr="00A306F8">
        <w:rPr>
          <w:rFonts w:ascii="Calibri" w:hAnsi="Calibri" w:cs="Times New Roman"/>
          <w:i/>
          <w:iCs/>
          <w:color w:val="000000"/>
        </w:rPr>
        <w:t>)(</w:t>
      </w:r>
      <w:proofErr w:type="gramEnd"/>
      <w:r w:rsidRPr="00A306F8">
        <w:rPr>
          <w:rFonts w:ascii="Calibri" w:hAnsi="Calibri" w:cs="Times New Roman"/>
          <w:i/>
          <w:iCs/>
          <w:color w:val="000000"/>
        </w:rPr>
        <w:t>1)(B))</w:t>
      </w:r>
      <w:r w:rsidRPr="00A306F8">
        <w:rPr>
          <w:rFonts w:ascii="Calibri" w:hAnsi="Calibri" w:cs="Times New Roman"/>
          <w:color w:val="000000"/>
        </w:rPr>
        <w:t xml:space="preserve">: Provide a plan for assisting in the transition of children and youth between correctional facilities and locally operated programs. </w:t>
      </w:r>
    </w:p>
    <w:p w14:paraId="4FAF5475" w14:textId="77777777" w:rsidR="00BA4A8C" w:rsidRPr="00AB74E0" w:rsidRDefault="00BA4A8C" w:rsidP="00CE3AFB">
      <w:r w:rsidRPr="00AB74E0">
        <w:t>DEED actively supports the provisions of a high-quality education to neglected, delinquent, or at-risk students in juvenile justice and correctional facilities. DEED understands that students who move between correctional facilities and locally operated programs face many challenges, including delayed academic record transfer and limited access to specific programs and services necessary to meet students’ unique educational needs.</w:t>
      </w:r>
    </w:p>
    <w:p w14:paraId="2861CCDB" w14:textId="77777777" w:rsidR="00BA4A8C" w:rsidRPr="00AB74E0" w:rsidRDefault="00BA4A8C" w:rsidP="00424E73">
      <w:pPr>
        <w:autoSpaceDE w:val="0"/>
        <w:autoSpaceDN w:val="0"/>
        <w:adjustRightInd w:val="0"/>
        <w:rPr>
          <w:rFonts w:ascii="Calibri" w:hAnsi="Calibri" w:cs="Times New Roman"/>
          <w:color w:val="000000"/>
          <w:szCs w:val="24"/>
        </w:rPr>
      </w:pPr>
      <w:r w:rsidRPr="00AB74E0">
        <w:rPr>
          <w:rFonts w:ascii="Calibri" w:hAnsi="Calibri" w:cs="Times New Roman"/>
          <w:color w:val="000000"/>
          <w:szCs w:val="24"/>
        </w:rPr>
        <w:t>DEED will require all districts</w:t>
      </w:r>
      <w:r>
        <w:rPr>
          <w:rFonts w:ascii="Calibri" w:hAnsi="Calibri" w:cs="Times New Roman"/>
          <w:color w:val="000000"/>
          <w:szCs w:val="24"/>
        </w:rPr>
        <w:t xml:space="preserve"> receiving Title I-D funds</w:t>
      </w:r>
      <w:r w:rsidRPr="00AB74E0">
        <w:rPr>
          <w:rFonts w:ascii="Calibri" w:hAnsi="Calibri" w:cs="Times New Roman"/>
          <w:color w:val="000000"/>
          <w:szCs w:val="24"/>
        </w:rPr>
        <w:t xml:space="preserve"> to:</w:t>
      </w:r>
    </w:p>
    <w:p w14:paraId="4AFCA48E" w14:textId="77777777" w:rsidR="00BA4A8C" w:rsidRPr="00AB74E0" w:rsidRDefault="00BA4A8C" w:rsidP="00BA1524">
      <w:pPr>
        <w:numPr>
          <w:ilvl w:val="0"/>
          <w:numId w:val="24"/>
        </w:numPr>
        <w:autoSpaceDE w:val="0"/>
        <w:autoSpaceDN w:val="0"/>
        <w:adjustRightInd w:val="0"/>
        <w:rPr>
          <w:rFonts w:ascii="Calibri" w:hAnsi="Calibri" w:cs="Times New Roman"/>
          <w:color w:val="000000"/>
          <w:szCs w:val="24"/>
        </w:rPr>
      </w:pPr>
      <w:r w:rsidRPr="00AB74E0">
        <w:rPr>
          <w:rFonts w:ascii="Calibri" w:hAnsi="Calibri" w:cs="Times New Roman"/>
          <w:color w:val="000000"/>
          <w:szCs w:val="24"/>
        </w:rPr>
        <w:t xml:space="preserve">Designate a single point of contact responsible for issues relating to the transition of children and youth between the </w:t>
      </w:r>
      <w:r>
        <w:rPr>
          <w:rFonts w:ascii="Calibri" w:hAnsi="Calibri" w:cs="Times New Roman"/>
          <w:color w:val="000000"/>
          <w:szCs w:val="24"/>
        </w:rPr>
        <w:t>S</w:t>
      </w:r>
      <w:r w:rsidRPr="00AB74E0">
        <w:rPr>
          <w:rFonts w:ascii="Calibri" w:hAnsi="Calibri" w:cs="Times New Roman"/>
          <w:color w:val="000000"/>
          <w:szCs w:val="24"/>
        </w:rPr>
        <w:t>tate-operated correctional facility and schools, altern</w:t>
      </w:r>
      <w:r>
        <w:rPr>
          <w:rFonts w:ascii="Calibri" w:hAnsi="Calibri" w:cs="Times New Roman"/>
          <w:color w:val="000000"/>
          <w:szCs w:val="24"/>
        </w:rPr>
        <w:t>ative educational opportunities, and</w:t>
      </w:r>
      <w:r w:rsidRPr="00AB74E0">
        <w:rPr>
          <w:rFonts w:ascii="Calibri" w:hAnsi="Calibri" w:cs="Times New Roman"/>
          <w:color w:val="000000"/>
          <w:szCs w:val="24"/>
        </w:rPr>
        <w:t xml:space="preserve"> other locally operated programs. This person will be responsible for communicating with local detention and other treatment facilities regarding student placement, assist</w:t>
      </w:r>
      <w:r>
        <w:rPr>
          <w:rFonts w:ascii="Calibri" w:hAnsi="Calibri" w:cs="Times New Roman"/>
          <w:color w:val="000000"/>
          <w:szCs w:val="24"/>
        </w:rPr>
        <w:t>ing</w:t>
      </w:r>
      <w:r w:rsidRPr="00AB74E0">
        <w:rPr>
          <w:rFonts w:ascii="Calibri" w:hAnsi="Calibri" w:cs="Times New Roman"/>
          <w:color w:val="000000"/>
          <w:szCs w:val="24"/>
        </w:rPr>
        <w:t xml:space="preserve"> in transitioning student records (including IEPs), transferring of credits, and serving as a liaison between the </w:t>
      </w:r>
      <w:r>
        <w:rPr>
          <w:rFonts w:ascii="Calibri" w:hAnsi="Calibri" w:cs="Times New Roman"/>
          <w:color w:val="000000"/>
          <w:szCs w:val="24"/>
        </w:rPr>
        <w:t>districts</w:t>
      </w:r>
      <w:r w:rsidRPr="00AB74E0">
        <w:rPr>
          <w:rFonts w:ascii="Calibri" w:hAnsi="Calibri" w:cs="Times New Roman"/>
          <w:color w:val="000000"/>
          <w:szCs w:val="24"/>
        </w:rPr>
        <w:t xml:space="preserve"> and the local juvenile court.</w:t>
      </w:r>
    </w:p>
    <w:p w14:paraId="4AB712CD" w14:textId="77777777" w:rsidR="00BA4A8C" w:rsidRPr="00816292" w:rsidRDefault="00BA4A8C" w:rsidP="00BA1524">
      <w:pPr>
        <w:numPr>
          <w:ilvl w:val="0"/>
          <w:numId w:val="24"/>
        </w:numPr>
        <w:autoSpaceDE w:val="0"/>
        <w:autoSpaceDN w:val="0"/>
        <w:adjustRightInd w:val="0"/>
        <w:rPr>
          <w:rFonts w:cs="Times New Roman"/>
          <w:color w:val="000000"/>
          <w:szCs w:val="24"/>
        </w:rPr>
      </w:pPr>
      <w:r>
        <w:rPr>
          <w:rFonts w:ascii="Calibri" w:hAnsi="Calibri" w:cs="Times New Roman"/>
          <w:color w:val="000000"/>
          <w:szCs w:val="24"/>
        </w:rPr>
        <w:t>D</w:t>
      </w:r>
      <w:r w:rsidRPr="00AB74E0">
        <w:rPr>
          <w:rFonts w:ascii="Calibri" w:hAnsi="Calibri" w:cs="Times New Roman"/>
          <w:color w:val="000000"/>
          <w:szCs w:val="24"/>
        </w:rPr>
        <w:t>escribe in the</w:t>
      </w:r>
      <w:r>
        <w:rPr>
          <w:rFonts w:ascii="Calibri" w:hAnsi="Calibri" w:cs="Times New Roman"/>
          <w:color w:val="000000"/>
          <w:szCs w:val="24"/>
        </w:rPr>
        <w:t xml:space="preserve"> district </w:t>
      </w:r>
      <w:r w:rsidRPr="00AB74E0">
        <w:rPr>
          <w:rFonts w:ascii="Calibri" w:hAnsi="Calibri" w:cs="Times New Roman"/>
          <w:color w:val="000000"/>
          <w:szCs w:val="24"/>
        </w:rPr>
        <w:t xml:space="preserve">application </w:t>
      </w:r>
      <w:r>
        <w:rPr>
          <w:rFonts w:ascii="Calibri" w:hAnsi="Calibri" w:cs="Times New Roman"/>
          <w:color w:val="000000"/>
          <w:szCs w:val="24"/>
        </w:rPr>
        <w:t xml:space="preserve">for Title I-D </w:t>
      </w:r>
      <w:r w:rsidRPr="00AB74E0">
        <w:rPr>
          <w:rFonts w:ascii="Calibri" w:hAnsi="Calibri" w:cs="Times New Roman"/>
          <w:color w:val="000000"/>
          <w:szCs w:val="24"/>
        </w:rPr>
        <w:t xml:space="preserve">the supports the district has in place for youth that transition </w:t>
      </w:r>
      <w:r>
        <w:rPr>
          <w:rFonts w:ascii="Calibri" w:hAnsi="Calibri" w:cs="Times New Roman"/>
          <w:color w:val="000000"/>
          <w:szCs w:val="24"/>
        </w:rPr>
        <w:t>between</w:t>
      </w:r>
      <w:r w:rsidRPr="00AB74E0">
        <w:rPr>
          <w:rFonts w:ascii="Calibri" w:hAnsi="Calibri" w:cs="Times New Roman"/>
          <w:color w:val="000000"/>
          <w:szCs w:val="24"/>
        </w:rPr>
        <w:t xml:space="preserve"> the juvenile justice system </w:t>
      </w:r>
      <w:r>
        <w:rPr>
          <w:rFonts w:ascii="Calibri" w:hAnsi="Calibri" w:cs="Times New Roman"/>
          <w:color w:val="000000"/>
          <w:szCs w:val="24"/>
        </w:rPr>
        <w:t>and</w:t>
      </w:r>
      <w:r w:rsidRPr="00AB74E0">
        <w:rPr>
          <w:rFonts w:ascii="Calibri" w:hAnsi="Calibri" w:cs="Times New Roman"/>
          <w:color w:val="000000"/>
          <w:szCs w:val="24"/>
        </w:rPr>
        <w:t xml:space="preserve"> their home district. The description must include the following: personal, career, technical, and academic counseling; placement services designed to place the youth in a university, college, or junior college program; information concerning, and assistance in obtaining, available student financial aid; counseling services; and job placement services.</w:t>
      </w:r>
    </w:p>
    <w:p w14:paraId="2987E281" w14:textId="74B5AC7E" w:rsidR="00CE3AFB" w:rsidRDefault="00BA4A8C" w:rsidP="00CE3AFB">
      <w:pPr>
        <w:pStyle w:val="Heading2"/>
        <w:numPr>
          <w:ilvl w:val="0"/>
          <w:numId w:val="96"/>
        </w:numPr>
      </w:pPr>
      <w:r w:rsidRPr="00A306F8">
        <w:t>Program Objectives and Outcomes</w:t>
      </w:r>
    </w:p>
    <w:p w14:paraId="3285F064" w14:textId="294DD241" w:rsidR="00BA4A8C" w:rsidRPr="00A306F8" w:rsidRDefault="00BA4A8C" w:rsidP="00CE3AFB">
      <w:pPr>
        <w:autoSpaceDE w:val="0"/>
        <w:autoSpaceDN w:val="0"/>
        <w:adjustRightInd w:val="0"/>
        <w:ind w:left="360"/>
        <w:rPr>
          <w:rFonts w:ascii="Calibri" w:hAnsi="Calibri" w:cs="Times New Roman"/>
          <w:color w:val="000000"/>
        </w:rPr>
      </w:pPr>
      <w:r w:rsidRPr="00A306F8">
        <w:rPr>
          <w:rFonts w:ascii="Calibri" w:hAnsi="Calibri" w:cs="Times New Roman"/>
          <w:i/>
          <w:iCs/>
          <w:color w:val="000000"/>
        </w:rPr>
        <w:t>(ESEA section 1414(a)(2)(A))</w:t>
      </w:r>
      <w:r w:rsidRPr="00A306F8">
        <w:rPr>
          <w:rFonts w:ascii="Calibri" w:hAnsi="Calibri" w:cs="Times New Roman"/>
          <w:color w:val="000000"/>
        </w:rPr>
        <w:t>: Describe the program objectives and outcomes established by the State that will be used to assess the effectiveness of the Title I, Part</w:t>
      </w:r>
      <w:r w:rsidRPr="00A306F8">
        <w:rPr>
          <w:rFonts w:ascii="Calibri" w:hAnsi="Calibri" w:cs="Times New Roman"/>
          <w:color w:val="000000"/>
          <w:shd w:val="clear" w:color="auto" w:fill="D5DCE4" w:themeFill="text2" w:themeFillTint="33"/>
        </w:rPr>
        <w:t xml:space="preserve"> </w:t>
      </w:r>
      <w:r w:rsidRPr="00A306F8">
        <w:rPr>
          <w:rFonts w:ascii="Calibri" w:hAnsi="Calibri" w:cs="Times New Roman"/>
          <w:color w:val="000000"/>
        </w:rPr>
        <w:t xml:space="preserve">D program in improving the academic, career, and technical skills of children in the program. </w:t>
      </w:r>
    </w:p>
    <w:p w14:paraId="2FD81920" w14:textId="77777777" w:rsidR="00BA4A8C" w:rsidRPr="00AB74E0" w:rsidRDefault="00BA4A8C" w:rsidP="00424E73">
      <w:pPr>
        <w:autoSpaceDE w:val="0"/>
        <w:autoSpaceDN w:val="0"/>
        <w:adjustRightInd w:val="0"/>
        <w:rPr>
          <w:rFonts w:ascii="Calibri" w:hAnsi="Calibri" w:cs="Times New Roman"/>
          <w:b/>
          <w:color w:val="000000"/>
          <w:szCs w:val="24"/>
        </w:rPr>
      </w:pPr>
      <w:r w:rsidRPr="00AB74E0">
        <w:rPr>
          <w:rFonts w:ascii="Calibri" w:hAnsi="Calibri" w:cs="Times New Roman"/>
          <w:b/>
          <w:color w:val="000000"/>
          <w:szCs w:val="24"/>
        </w:rPr>
        <w:t xml:space="preserve">Program Objectives </w:t>
      </w:r>
    </w:p>
    <w:p w14:paraId="1048BD51" w14:textId="77777777" w:rsidR="00BA4A8C" w:rsidRPr="00AB74E0" w:rsidRDefault="00BA4A8C" w:rsidP="00424E73">
      <w:pPr>
        <w:autoSpaceDE w:val="0"/>
        <w:autoSpaceDN w:val="0"/>
        <w:adjustRightInd w:val="0"/>
        <w:rPr>
          <w:rFonts w:ascii="Calibri" w:hAnsi="Calibri" w:cs="Times New Roman"/>
          <w:color w:val="000000"/>
          <w:szCs w:val="24"/>
        </w:rPr>
      </w:pPr>
      <w:r w:rsidRPr="00AB74E0">
        <w:rPr>
          <w:rFonts w:ascii="Calibri" w:hAnsi="Calibri" w:cs="Times New Roman"/>
          <w:color w:val="000000"/>
          <w:szCs w:val="24"/>
        </w:rPr>
        <w:t xml:space="preserve">The purpose of Title I, Part D is to support the operation of </w:t>
      </w:r>
      <w:r>
        <w:rPr>
          <w:rFonts w:ascii="Calibri" w:hAnsi="Calibri" w:cs="Times New Roman"/>
          <w:color w:val="000000"/>
          <w:szCs w:val="24"/>
        </w:rPr>
        <w:t>S</w:t>
      </w:r>
      <w:r w:rsidRPr="00AB74E0">
        <w:rPr>
          <w:rFonts w:ascii="Calibri" w:hAnsi="Calibri" w:cs="Times New Roman"/>
          <w:color w:val="000000"/>
          <w:szCs w:val="24"/>
        </w:rPr>
        <w:t>tate facilities, correctional facilities, delinquent programs, neglected programs, or local educational agency programs that involve collaboration with locally op</w:t>
      </w:r>
      <w:r>
        <w:rPr>
          <w:rFonts w:ascii="Calibri" w:hAnsi="Calibri" w:cs="Times New Roman"/>
          <w:color w:val="000000"/>
          <w:szCs w:val="24"/>
        </w:rPr>
        <w:t>erated correctional facilities:</w:t>
      </w:r>
    </w:p>
    <w:p w14:paraId="20D58728" w14:textId="77777777" w:rsidR="00BA4A8C" w:rsidRPr="00AB74E0" w:rsidRDefault="00BA4A8C" w:rsidP="00BA1524">
      <w:pPr>
        <w:numPr>
          <w:ilvl w:val="0"/>
          <w:numId w:val="25"/>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To carry out high</w:t>
      </w:r>
      <w:r>
        <w:rPr>
          <w:rFonts w:ascii="Calibri" w:hAnsi="Calibri" w:cs="Times New Roman"/>
          <w:color w:val="000000"/>
          <w:szCs w:val="24"/>
        </w:rPr>
        <w:t>-</w:t>
      </w:r>
      <w:r w:rsidRPr="00AB74E0">
        <w:rPr>
          <w:rFonts w:ascii="Calibri" w:hAnsi="Calibri" w:cs="Times New Roman"/>
          <w:color w:val="000000"/>
          <w:szCs w:val="24"/>
        </w:rPr>
        <w:t xml:space="preserve">quality education programs to prepare youth for regular high </w:t>
      </w:r>
      <w:r>
        <w:rPr>
          <w:rFonts w:ascii="Calibri" w:hAnsi="Calibri" w:cs="Times New Roman"/>
          <w:color w:val="000000"/>
          <w:szCs w:val="24"/>
        </w:rPr>
        <w:t xml:space="preserve">school </w:t>
      </w:r>
      <w:r w:rsidRPr="00AB74E0">
        <w:rPr>
          <w:rFonts w:ascii="Calibri" w:hAnsi="Calibri" w:cs="Times New Roman"/>
          <w:color w:val="000000"/>
          <w:szCs w:val="24"/>
        </w:rPr>
        <w:t xml:space="preserve">diploma, career </w:t>
      </w:r>
      <w:r>
        <w:rPr>
          <w:rFonts w:ascii="Calibri" w:hAnsi="Calibri" w:cs="Times New Roman"/>
          <w:color w:val="000000"/>
          <w:szCs w:val="24"/>
        </w:rPr>
        <w:t>and</w:t>
      </w:r>
      <w:r w:rsidRPr="00AB74E0">
        <w:rPr>
          <w:rFonts w:ascii="Calibri" w:hAnsi="Calibri" w:cs="Times New Roman"/>
          <w:color w:val="000000"/>
          <w:szCs w:val="24"/>
        </w:rPr>
        <w:t xml:space="preserve"> technical training, employment, or further education; </w:t>
      </w:r>
    </w:p>
    <w:p w14:paraId="3AAEBFA1" w14:textId="77777777" w:rsidR="00BA4A8C" w:rsidRPr="00AB74E0" w:rsidRDefault="00BA4A8C" w:rsidP="00BA1524">
      <w:pPr>
        <w:numPr>
          <w:ilvl w:val="0"/>
          <w:numId w:val="25"/>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 xml:space="preserve">To provide activities to facilitate the transition of such youth </w:t>
      </w:r>
      <w:r>
        <w:rPr>
          <w:rFonts w:ascii="Calibri" w:hAnsi="Calibri" w:cs="Times New Roman"/>
          <w:color w:val="000000"/>
          <w:szCs w:val="24"/>
        </w:rPr>
        <w:t>between districts and</w:t>
      </w:r>
      <w:r w:rsidRPr="00AB74E0">
        <w:rPr>
          <w:rFonts w:ascii="Calibri" w:hAnsi="Calibri" w:cs="Times New Roman"/>
          <w:color w:val="000000"/>
          <w:szCs w:val="24"/>
        </w:rPr>
        <w:t xml:space="preserve"> correctional programs to further education</w:t>
      </w:r>
      <w:r>
        <w:rPr>
          <w:rFonts w:ascii="Calibri" w:hAnsi="Calibri" w:cs="Times New Roman"/>
          <w:color w:val="000000"/>
          <w:szCs w:val="24"/>
        </w:rPr>
        <w:t>, provide career and technical education skills,</w:t>
      </w:r>
      <w:r w:rsidRPr="00AB74E0">
        <w:rPr>
          <w:rFonts w:ascii="Calibri" w:hAnsi="Calibri" w:cs="Times New Roman"/>
          <w:color w:val="000000"/>
          <w:szCs w:val="24"/>
        </w:rPr>
        <w:t xml:space="preserve"> or facilitate employment; </w:t>
      </w:r>
    </w:p>
    <w:p w14:paraId="5CFA62DF" w14:textId="77777777" w:rsidR="00BA4A8C" w:rsidRPr="00AB74E0" w:rsidRDefault="00BA4A8C" w:rsidP="00BA1524">
      <w:pPr>
        <w:numPr>
          <w:ilvl w:val="0"/>
          <w:numId w:val="25"/>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lastRenderedPageBreak/>
        <w:t xml:space="preserve">To provide comparable services to neglected children or institutional delinquent children and neglected and delinquent children in community day-school and long-term programs; </w:t>
      </w:r>
    </w:p>
    <w:p w14:paraId="0CAFE79F" w14:textId="77777777" w:rsidR="00BA4A8C" w:rsidRPr="00AB74E0" w:rsidRDefault="00BA4A8C" w:rsidP="00BA1524">
      <w:pPr>
        <w:numPr>
          <w:ilvl w:val="0"/>
          <w:numId w:val="25"/>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 xml:space="preserve">To prevent at-risk youth from dropping out of school and to provide dropouts and children and youth returning from correctional facilities or institutions for neglected or delinquent youth, with a support system to ensure their continued education; and </w:t>
      </w:r>
    </w:p>
    <w:p w14:paraId="535573BC" w14:textId="77777777" w:rsidR="00BA4A8C" w:rsidRPr="00191AFF" w:rsidRDefault="00BA4A8C" w:rsidP="00BA1524">
      <w:pPr>
        <w:pStyle w:val="ListParagraph"/>
        <w:numPr>
          <w:ilvl w:val="0"/>
          <w:numId w:val="25"/>
        </w:numPr>
        <w:autoSpaceDE w:val="0"/>
        <w:autoSpaceDN w:val="0"/>
        <w:adjustRightInd w:val="0"/>
        <w:rPr>
          <w:rFonts w:ascii="Calibri" w:hAnsi="Calibri" w:cs="Times New Roman"/>
          <w:sz w:val="24"/>
          <w:szCs w:val="24"/>
        </w:rPr>
      </w:pPr>
      <w:r w:rsidRPr="00191AFF">
        <w:rPr>
          <w:rFonts w:ascii="Calibri" w:hAnsi="Calibri" w:cs="Times New Roman"/>
          <w:color w:val="000000"/>
          <w:szCs w:val="24"/>
        </w:rPr>
        <w:t>To provide transitional services between local schools and correctional facilities for at risk youth returning from correctional facilities and programs.</w:t>
      </w:r>
    </w:p>
    <w:p w14:paraId="63458D94" w14:textId="77777777" w:rsidR="00BA4A8C" w:rsidRPr="00AB74E0" w:rsidRDefault="00BA4A8C" w:rsidP="00424E73">
      <w:pPr>
        <w:autoSpaceDE w:val="0"/>
        <w:autoSpaceDN w:val="0"/>
        <w:adjustRightInd w:val="0"/>
        <w:rPr>
          <w:rFonts w:ascii="Calibri" w:hAnsi="Calibri" w:cs="Times New Roman"/>
          <w:b/>
          <w:color w:val="000000"/>
          <w:szCs w:val="24"/>
        </w:rPr>
      </w:pPr>
      <w:r w:rsidRPr="00AB74E0">
        <w:rPr>
          <w:rFonts w:ascii="Calibri" w:hAnsi="Calibri" w:cs="Times New Roman"/>
          <w:b/>
          <w:color w:val="000000"/>
          <w:szCs w:val="24"/>
        </w:rPr>
        <w:t xml:space="preserve">Program Outcomes </w:t>
      </w:r>
    </w:p>
    <w:p w14:paraId="7E5562D8" w14:textId="77777777" w:rsidR="00BA4A8C" w:rsidRPr="00AB74E0" w:rsidRDefault="00BA4A8C" w:rsidP="00424E73">
      <w:pPr>
        <w:autoSpaceDE w:val="0"/>
        <w:autoSpaceDN w:val="0"/>
        <w:adjustRightInd w:val="0"/>
        <w:rPr>
          <w:rFonts w:ascii="Calibri" w:hAnsi="Calibri" w:cs="Times New Roman"/>
          <w:color w:val="000000"/>
          <w:szCs w:val="24"/>
        </w:rPr>
      </w:pPr>
      <w:r w:rsidRPr="00AB74E0">
        <w:rPr>
          <w:rFonts w:ascii="Calibri" w:hAnsi="Calibri" w:cs="Times New Roman"/>
          <w:color w:val="000000"/>
          <w:szCs w:val="24"/>
        </w:rPr>
        <w:t xml:space="preserve">DEED administers the Title I, Part D program and utilizes a variety of elements to assess program effectiveness, including: </w:t>
      </w:r>
    </w:p>
    <w:p w14:paraId="2CBDF0E1" w14:textId="77777777" w:rsidR="00BA4A8C" w:rsidRPr="00AB74E0" w:rsidRDefault="00BA4A8C" w:rsidP="00BA1524">
      <w:pPr>
        <w:numPr>
          <w:ilvl w:val="0"/>
          <w:numId w:val="26"/>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 xml:space="preserve">Annual review of </w:t>
      </w:r>
      <w:r>
        <w:rPr>
          <w:rFonts w:ascii="Calibri" w:hAnsi="Calibri" w:cs="Times New Roman"/>
          <w:color w:val="000000"/>
          <w:szCs w:val="24"/>
        </w:rPr>
        <w:t>district</w:t>
      </w:r>
      <w:r w:rsidRPr="00AB74E0">
        <w:rPr>
          <w:rFonts w:ascii="Calibri" w:hAnsi="Calibri" w:cs="Times New Roman"/>
          <w:color w:val="000000"/>
          <w:szCs w:val="24"/>
        </w:rPr>
        <w:t xml:space="preserve"> application that contains assurances, narrative descriptive questions, and budget information. Upon receipt at DEED, applications are reviewed. </w:t>
      </w:r>
    </w:p>
    <w:p w14:paraId="0DCEBDAF" w14:textId="77777777" w:rsidR="00BA4A8C" w:rsidRPr="00AB74E0" w:rsidRDefault="00BA4A8C" w:rsidP="00BA1524">
      <w:pPr>
        <w:numPr>
          <w:ilvl w:val="0"/>
          <w:numId w:val="26"/>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 xml:space="preserve">Annual review of </w:t>
      </w:r>
      <w:r>
        <w:rPr>
          <w:rFonts w:ascii="Calibri" w:hAnsi="Calibri" w:cs="Times New Roman"/>
          <w:color w:val="000000"/>
          <w:szCs w:val="24"/>
        </w:rPr>
        <w:t>district</w:t>
      </w:r>
      <w:r w:rsidRPr="00AB74E0">
        <w:rPr>
          <w:rFonts w:ascii="Calibri" w:hAnsi="Calibri" w:cs="Times New Roman"/>
          <w:color w:val="000000"/>
          <w:szCs w:val="24"/>
        </w:rPr>
        <w:t xml:space="preserve"> end-of-year report that summarizes both budget and program information </w:t>
      </w:r>
      <w:r>
        <w:rPr>
          <w:rFonts w:ascii="Calibri" w:hAnsi="Calibri" w:cs="Times New Roman"/>
          <w:color w:val="000000"/>
          <w:szCs w:val="24"/>
        </w:rPr>
        <w:t>(to include transition activities, and activities to improve academic, career and technical skills)</w:t>
      </w:r>
      <w:r w:rsidRPr="00AB74E0">
        <w:rPr>
          <w:rFonts w:ascii="Calibri" w:hAnsi="Calibri" w:cs="Times New Roman"/>
          <w:color w:val="000000"/>
          <w:szCs w:val="24"/>
        </w:rPr>
        <w:t xml:space="preserve"> from the year</w:t>
      </w:r>
      <w:r>
        <w:rPr>
          <w:rFonts w:ascii="Calibri" w:hAnsi="Calibri" w:cs="Times New Roman"/>
          <w:color w:val="000000"/>
          <w:szCs w:val="24"/>
        </w:rPr>
        <w:t>, showing that students have been provided, to the extent feasible, the same opportunities to achieve as students in the other schools of the district</w:t>
      </w:r>
      <w:r w:rsidRPr="00AB74E0">
        <w:rPr>
          <w:rFonts w:ascii="Calibri" w:hAnsi="Calibri" w:cs="Times New Roman"/>
          <w:color w:val="000000"/>
          <w:szCs w:val="24"/>
        </w:rPr>
        <w:t xml:space="preserve">. </w:t>
      </w:r>
    </w:p>
    <w:p w14:paraId="4F4FA329" w14:textId="77777777" w:rsidR="00BA4A8C" w:rsidRPr="00AB74E0" w:rsidRDefault="00BA4A8C" w:rsidP="00BA1524">
      <w:pPr>
        <w:numPr>
          <w:ilvl w:val="0"/>
          <w:numId w:val="26"/>
        </w:numPr>
        <w:autoSpaceDE w:val="0"/>
        <w:autoSpaceDN w:val="0"/>
        <w:adjustRightInd w:val="0"/>
        <w:spacing w:after="38"/>
        <w:rPr>
          <w:rFonts w:ascii="Calibri" w:hAnsi="Calibri" w:cs="Times New Roman"/>
          <w:color w:val="000000"/>
          <w:szCs w:val="24"/>
        </w:rPr>
      </w:pPr>
      <w:r w:rsidRPr="00AB74E0">
        <w:rPr>
          <w:rFonts w:ascii="Calibri" w:hAnsi="Calibri" w:cs="Times New Roman"/>
          <w:color w:val="000000"/>
          <w:szCs w:val="24"/>
        </w:rPr>
        <w:t xml:space="preserve">Periodic monitoring of </w:t>
      </w:r>
      <w:r>
        <w:rPr>
          <w:rFonts w:ascii="Calibri" w:hAnsi="Calibri" w:cs="Times New Roman"/>
          <w:color w:val="000000"/>
          <w:szCs w:val="24"/>
        </w:rPr>
        <w:t>district</w:t>
      </w:r>
      <w:r w:rsidRPr="00AB74E0">
        <w:rPr>
          <w:rFonts w:ascii="Calibri" w:hAnsi="Calibri" w:cs="Times New Roman"/>
          <w:color w:val="000000"/>
          <w:szCs w:val="24"/>
        </w:rPr>
        <w:t xml:space="preserve">s on the required components to assure they are implementing correct </w:t>
      </w:r>
      <w:r>
        <w:rPr>
          <w:rFonts w:ascii="Calibri" w:hAnsi="Calibri" w:cs="Times New Roman"/>
          <w:color w:val="000000"/>
          <w:szCs w:val="24"/>
        </w:rPr>
        <w:t>programing to include transition activities, academic, and career and technical skills</w:t>
      </w:r>
      <w:r w:rsidRPr="00AB74E0">
        <w:rPr>
          <w:rFonts w:ascii="Calibri" w:hAnsi="Calibri" w:cs="Times New Roman"/>
          <w:color w:val="000000"/>
          <w:szCs w:val="24"/>
        </w:rPr>
        <w:t xml:space="preserve"> with the funds. </w:t>
      </w:r>
    </w:p>
    <w:p w14:paraId="3D334BC3" w14:textId="77777777" w:rsidR="00BA4A8C" w:rsidRDefault="00BA4A8C" w:rsidP="00BA1524">
      <w:pPr>
        <w:numPr>
          <w:ilvl w:val="0"/>
          <w:numId w:val="26"/>
        </w:numPr>
        <w:autoSpaceDE w:val="0"/>
        <w:autoSpaceDN w:val="0"/>
        <w:adjustRightInd w:val="0"/>
        <w:rPr>
          <w:rFonts w:ascii="Calibri" w:hAnsi="Calibri" w:cs="Times New Roman"/>
          <w:color w:val="000000"/>
          <w:szCs w:val="24"/>
        </w:rPr>
      </w:pPr>
      <w:r>
        <w:rPr>
          <w:rFonts w:ascii="Calibri" w:hAnsi="Calibri" w:cs="Times New Roman"/>
          <w:color w:val="000000"/>
          <w:szCs w:val="24"/>
        </w:rPr>
        <w:t xml:space="preserve">Annual review of student outcomes on pre-and post-testing and state assessments in English language arts and mathematics, measuring students on the same academic standards as all students within Alaska. </w:t>
      </w:r>
    </w:p>
    <w:p w14:paraId="73EE58F2" w14:textId="17EC44E8" w:rsidR="00B73A8F" w:rsidRDefault="00BA4A8C" w:rsidP="00BA1524">
      <w:pPr>
        <w:numPr>
          <w:ilvl w:val="0"/>
          <w:numId w:val="26"/>
        </w:numPr>
        <w:autoSpaceDE w:val="0"/>
        <w:autoSpaceDN w:val="0"/>
        <w:adjustRightInd w:val="0"/>
        <w:rPr>
          <w:rFonts w:ascii="Calibri" w:hAnsi="Calibri" w:cs="Times New Roman"/>
          <w:color w:val="000000"/>
          <w:szCs w:val="24"/>
        </w:rPr>
      </w:pPr>
      <w:r>
        <w:rPr>
          <w:rFonts w:ascii="Calibri" w:hAnsi="Calibri" w:cs="Times New Roman"/>
          <w:color w:val="000000"/>
          <w:szCs w:val="24"/>
        </w:rPr>
        <w:t>Annual review of the number of students receiving a regular high school diploma (as a priority), the number receiving a recognized equivalent of a high school diplomas, and the number making a successful transition to career and technical education, further education, or employment.</w:t>
      </w:r>
      <w:r w:rsidR="00B73A8F">
        <w:rPr>
          <w:rFonts w:ascii="Calibri" w:hAnsi="Calibri" w:cs="Times New Roman"/>
          <w:color w:val="000000"/>
          <w:szCs w:val="24"/>
        </w:rPr>
        <w:br w:type="page"/>
      </w:r>
    </w:p>
    <w:p w14:paraId="47F9972C" w14:textId="77777777" w:rsidR="00FC293A" w:rsidRDefault="00FC293A" w:rsidP="00FC293A">
      <w:pPr>
        <w:pStyle w:val="Heading1"/>
      </w:pPr>
      <w:bookmarkStart w:id="12" w:name="_Toc6231629"/>
      <w:r>
        <w:lastRenderedPageBreak/>
        <w:t>D. Title II, Part A: Supporting Effective Instruction</w:t>
      </w:r>
      <w:bookmarkEnd w:id="12"/>
    </w:p>
    <w:p w14:paraId="5CC8C2EA" w14:textId="239380A3" w:rsidR="00B73A8F" w:rsidRPr="00B73A8F" w:rsidRDefault="00BA4A8C" w:rsidP="00B73A8F">
      <w:pPr>
        <w:pStyle w:val="Heading2"/>
        <w:numPr>
          <w:ilvl w:val="0"/>
          <w:numId w:val="98"/>
        </w:numPr>
      </w:pPr>
      <w:r w:rsidRPr="00B41397">
        <w:t xml:space="preserve">Use of </w:t>
      </w:r>
      <w:r w:rsidR="00B73A8F">
        <w:t>Funds</w:t>
      </w:r>
    </w:p>
    <w:p w14:paraId="3F7B168C" w14:textId="77777777" w:rsidR="000100FA" w:rsidRPr="000100FA" w:rsidRDefault="00BA4A8C" w:rsidP="000100FA">
      <w:pPr>
        <w:autoSpaceDE w:val="0"/>
        <w:autoSpaceDN w:val="0"/>
        <w:adjustRightInd w:val="0"/>
        <w:spacing w:after="0"/>
        <w:ind w:left="337"/>
        <w:rPr>
          <w:rStyle w:val="SubtleEmphasis"/>
        </w:rPr>
      </w:pPr>
      <w:r w:rsidRPr="000100FA">
        <w:rPr>
          <w:rStyle w:val="SubtleEmphasis"/>
        </w:rPr>
        <w:t>(ESEA section 2101(d</w:t>
      </w:r>
      <w:proofErr w:type="gramStart"/>
      <w:r w:rsidRPr="000100FA">
        <w:rPr>
          <w:rStyle w:val="SubtleEmphasis"/>
        </w:rPr>
        <w:t>)(</w:t>
      </w:r>
      <w:proofErr w:type="gramEnd"/>
      <w:r w:rsidRPr="000100FA">
        <w:rPr>
          <w:rStyle w:val="SubtleEmphasis"/>
        </w:rPr>
        <w:t xml:space="preserve">2)(A) and (D)): </w:t>
      </w:r>
    </w:p>
    <w:p w14:paraId="1D31E614" w14:textId="1751FD9C" w:rsidR="00BA4A8C" w:rsidRPr="00B41397" w:rsidRDefault="00BA4A8C" w:rsidP="00B73A8F">
      <w:pPr>
        <w:autoSpaceDE w:val="0"/>
        <w:autoSpaceDN w:val="0"/>
        <w:adjustRightInd w:val="0"/>
        <w:ind w:left="337"/>
        <w:rPr>
          <w:rFonts w:ascii="Calibri" w:hAnsi="Calibri" w:cs="Times New Roman"/>
          <w:color w:val="000000"/>
        </w:rPr>
      </w:pPr>
      <w:r w:rsidRPr="00B41397">
        <w:rPr>
          <w:rFonts w:ascii="Calibri" w:hAnsi="Calibri" w:cs="Times New Roman"/>
          <w:color w:val="000000"/>
        </w:rPr>
        <w:t xml:space="preserve">Describe how the State educational agency will use Title II, Part A funds received under Title II, Part A for State-level activities described in section 2101(c), including how the activities are expected to improve student achievement. </w:t>
      </w:r>
    </w:p>
    <w:p w14:paraId="24D6A192" w14:textId="77777777" w:rsidR="00BA4A8C" w:rsidRDefault="00BA4A8C" w:rsidP="000100FA">
      <w:pPr>
        <w:autoSpaceDE w:val="0"/>
        <w:autoSpaceDN w:val="0"/>
        <w:adjustRightInd w:val="0"/>
        <w:ind w:left="337"/>
        <w:rPr>
          <w:rFonts w:ascii="Calibri" w:hAnsi="Calibri"/>
        </w:rPr>
      </w:pPr>
      <w:r>
        <w:rPr>
          <w:rFonts w:ascii="Calibri" w:hAnsi="Calibri"/>
        </w:rPr>
        <w:t>Educator Growth and Development Systems has been the area of focus for DEED’s use of Title II, Part A funds. Current activities focus primarily on the development of effective educators, recognition of excellent teachers, and the provision of technical assistance to districts in this area. DEED is considering activities in induction and advancement for teachers, principals, and other schools leaders.</w:t>
      </w:r>
    </w:p>
    <w:p w14:paraId="1DCC8FCB" w14:textId="77777777" w:rsidR="00BA4A8C" w:rsidRPr="007F510B" w:rsidRDefault="00BA4A8C" w:rsidP="00424E73">
      <w:pPr>
        <w:rPr>
          <w:rFonts w:ascii="Calibri" w:hAnsi="Calibri"/>
          <w:b/>
        </w:rPr>
      </w:pPr>
      <w:r w:rsidRPr="007F510B">
        <w:rPr>
          <w:rFonts w:ascii="Calibri" w:hAnsi="Calibri"/>
          <w:b/>
        </w:rPr>
        <w:t>Continuing Activities</w:t>
      </w:r>
    </w:p>
    <w:p w14:paraId="7F128926" w14:textId="77777777" w:rsidR="00BA4A8C" w:rsidRDefault="00BA4A8C" w:rsidP="00424E73">
      <w:pPr>
        <w:rPr>
          <w:rFonts w:ascii="Calibri" w:hAnsi="Calibri"/>
        </w:rPr>
      </w:pPr>
      <w:r>
        <w:rPr>
          <w:rFonts w:ascii="Calibri" w:hAnsi="Calibri"/>
        </w:rPr>
        <w:t>DEED</w:t>
      </w:r>
      <w:r w:rsidRPr="00B41397">
        <w:rPr>
          <w:rFonts w:ascii="Calibri" w:hAnsi="Calibri"/>
        </w:rPr>
        <w:t xml:space="preserve"> will use Title II, Part A funds this next year to </w:t>
      </w:r>
      <w:r>
        <w:rPr>
          <w:rFonts w:ascii="Calibri" w:hAnsi="Calibri"/>
        </w:rPr>
        <w:t>support S</w:t>
      </w:r>
      <w:r w:rsidRPr="00B41397">
        <w:rPr>
          <w:rFonts w:ascii="Calibri" w:hAnsi="Calibri"/>
        </w:rPr>
        <w:t xml:space="preserve">tate-level activities that are in progress. These activities include </w:t>
      </w:r>
      <w:r>
        <w:rPr>
          <w:rFonts w:ascii="Calibri" w:hAnsi="Calibri"/>
        </w:rPr>
        <w:t>an online cohesive professional development network;</w:t>
      </w:r>
      <w:r w:rsidRPr="00B41397">
        <w:rPr>
          <w:rFonts w:ascii="Calibri" w:hAnsi="Calibri"/>
        </w:rPr>
        <w:t xml:space="preserve"> programs to recognize excellent teachers</w:t>
      </w:r>
      <w:r>
        <w:rPr>
          <w:rFonts w:ascii="Calibri" w:hAnsi="Calibri"/>
        </w:rPr>
        <w:t>; guidance</w:t>
      </w:r>
      <w:r w:rsidRPr="00B41397">
        <w:rPr>
          <w:rFonts w:ascii="Calibri" w:hAnsi="Calibri"/>
        </w:rPr>
        <w:t xml:space="preserve"> in using Educator Evaluation </w:t>
      </w:r>
      <w:r>
        <w:rPr>
          <w:rFonts w:ascii="Calibri" w:hAnsi="Calibri"/>
        </w:rPr>
        <w:t>and</w:t>
      </w:r>
      <w:r w:rsidRPr="00B41397">
        <w:rPr>
          <w:rFonts w:ascii="Calibri" w:hAnsi="Calibri"/>
        </w:rPr>
        <w:t xml:space="preserve"> Support </w:t>
      </w:r>
      <w:r>
        <w:rPr>
          <w:rFonts w:ascii="Calibri" w:hAnsi="Calibri"/>
        </w:rPr>
        <w:t>S</w:t>
      </w:r>
      <w:r w:rsidRPr="00B41397">
        <w:rPr>
          <w:rFonts w:ascii="Calibri" w:hAnsi="Calibri"/>
        </w:rPr>
        <w:t xml:space="preserve">ystem results and </w:t>
      </w:r>
      <w:r>
        <w:rPr>
          <w:rFonts w:ascii="Calibri" w:hAnsi="Calibri"/>
        </w:rPr>
        <w:t xml:space="preserve">meeting </w:t>
      </w:r>
      <w:r w:rsidRPr="00B41397">
        <w:rPr>
          <w:rFonts w:ascii="Calibri" w:hAnsi="Calibri"/>
        </w:rPr>
        <w:t>educator qualifications; and technical assistance on Title II, Part A district applications and monitoring.</w:t>
      </w:r>
    </w:p>
    <w:p w14:paraId="614CEC9D" w14:textId="77777777" w:rsidR="00BA4A8C" w:rsidRPr="00B41397" w:rsidRDefault="00BA4A8C" w:rsidP="00424E73">
      <w:r w:rsidRPr="00B41397">
        <w:t xml:space="preserve">DEED is </w:t>
      </w:r>
      <w:r>
        <w:t>currently using Title II, Part A funds to support a</w:t>
      </w:r>
      <w:r w:rsidRPr="00B41397">
        <w:t xml:space="preserve"> project to develop </w:t>
      </w:r>
      <w:r>
        <w:t xml:space="preserve">an online professional development network that </w:t>
      </w:r>
      <w:r w:rsidRPr="00B41397">
        <w:t xml:space="preserve">allows teacher teams to support personalized professional learning. Learning paths for both English </w:t>
      </w:r>
      <w:r>
        <w:t>l</w:t>
      </w:r>
      <w:r w:rsidRPr="00B41397">
        <w:t xml:space="preserve">anguage </w:t>
      </w:r>
      <w:r>
        <w:t>a</w:t>
      </w:r>
      <w:r w:rsidRPr="00B41397">
        <w:t xml:space="preserve">rts and </w:t>
      </w:r>
      <w:r>
        <w:t>m</w:t>
      </w:r>
      <w:r w:rsidRPr="00B41397">
        <w:t xml:space="preserve">athematics have been </w:t>
      </w:r>
      <w:r>
        <w:t>developed</w:t>
      </w:r>
      <w:r w:rsidRPr="00B41397">
        <w:t xml:space="preserve"> </w:t>
      </w:r>
      <w:r>
        <w:t>using open-source</w:t>
      </w:r>
      <w:r w:rsidRPr="00B41397">
        <w:t xml:space="preserve"> videos with interactive and discussion activities. </w:t>
      </w:r>
      <w:r>
        <w:t>Using this online environment, t</w:t>
      </w:r>
      <w:r w:rsidRPr="00B41397">
        <w:t>he project partner has enhance</w:t>
      </w:r>
      <w:r>
        <w:t>d</w:t>
      </w:r>
      <w:r w:rsidRPr="00B41397">
        <w:t xml:space="preserve"> online courses and extend</w:t>
      </w:r>
      <w:r>
        <w:t>ed</w:t>
      </w:r>
      <w:r w:rsidRPr="00B41397">
        <w:t xml:space="preserve"> the learn</w:t>
      </w:r>
      <w:r>
        <w:t>ing from statewide conferences</w:t>
      </w:r>
      <w:r w:rsidRPr="00B41397">
        <w:t xml:space="preserve">. Creating additional learning paths on effectively integrating technology, digital literacy, </w:t>
      </w:r>
      <w:r>
        <w:t xml:space="preserve">and </w:t>
      </w:r>
      <w:r w:rsidRPr="00B41397">
        <w:t>identify</w:t>
      </w:r>
      <w:r>
        <w:t>ing</w:t>
      </w:r>
      <w:r w:rsidRPr="00B41397">
        <w:t xml:space="preserve"> and meeting </w:t>
      </w:r>
      <w:r w:rsidRPr="00B41397">
        <w:rPr>
          <w:rFonts w:ascii="Calibri" w:hAnsi="Calibri" w:cs="Times New Roman"/>
          <w:color w:val="000000"/>
        </w:rPr>
        <w:t>students</w:t>
      </w:r>
      <w:r>
        <w:rPr>
          <w:rFonts w:ascii="Calibri" w:hAnsi="Calibri" w:cs="Times New Roman"/>
          <w:color w:val="000000"/>
        </w:rPr>
        <w:t xml:space="preserve">’ </w:t>
      </w:r>
      <w:r w:rsidRPr="00B41397">
        <w:rPr>
          <w:rFonts w:ascii="Calibri" w:hAnsi="Calibri" w:cs="Times New Roman"/>
          <w:color w:val="000000"/>
        </w:rPr>
        <w:t>specific learning needs</w:t>
      </w:r>
      <w:r w:rsidRPr="00B41397">
        <w:t xml:space="preserve"> </w:t>
      </w:r>
      <w:r>
        <w:t>will</w:t>
      </w:r>
      <w:r w:rsidRPr="00B41397">
        <w:t xml:space="preserve"> be explore</w:t>
      </w:r>
      <w:r>
        <w:t>d</w:t>
      </w:r>
      <w:r w:rsidRPr="00B41397">
        <w:t xml:space="preserve"> during </w:t>
      </w:r>
      <w:r>
        <w:t>the next year of this project.</w:t>
      </w:r>
    </w:p>
    <w:p w14:paraId="21AB2A86" w14:textId="3E1CC1B9" w:rsidR="00BA4A8C" w:rsidRDefault="00BA4A8C" w:rsidP="00424E73">
      <w:r>
        <w:t>DEED will continue to</w:t>
      </w:r>
      <w:r w:rsidRPr="00B41397">
        <w:t xml:space="preserve"> </w:t>
      </w:r>
      <w:r>
        <w:t xml:space="preserve">assist with the </w:t>
      </w:r>
      <w:r w:rsidRPr="00B41397">
        <w:t>disseminat</w:t>
      </w:r>
      <w:r>
        <w:t>ion of</w:t>
      </w:r>
      <w:r w:rsidRPr="00B41397">
        <w:t xml:space="preserve"> the lessons learned </w:t>
      </w:r>
      <w:r>
        <w:t xml:space="preserve">from a state-funded initiative that focused on the delivery of high-quality, interactive blended learning models. Blended learning </w:t>
      </w:r>
      <w:r w:rsidRPr="00D87AEB">
        <w:t xml:space="preserve">is generally the practice of using both online and </w:t>
      </w:r>
      <w:hyperlink r:id="rId62" w:tooltip="In-Person Learning" w:history="1">
        <w:r w:rsidRPr="00D87AEB">
          <w:t>in-person</w:t>
        </w:r>
      </w:hyperlink>
      <w:r w:rsidRPr="00D87AEB">
        <w:t xml:space="preserve"> learning experiences when teaching students. In a blended-learning course, for example, students might attend a class taught by a teacher in a traditional classroom setting, while also independently completing online components of the course outside of the classroom. </w:t>
      </w:r>
      <w:r>
        <w:t xml:space="preserve">This project focused on removing </w:t>
      </w:r>
      <w:r w:rsidRPr="00B41397">
        <w:t>barriers, providing specific technology enhancements, and strengthen</w:t>
      </w:r>
      <w:r>
        <w:t>ing</w:t>
      </w:r>
      <w:r w:rsidRPr="00B41397">
        <w:t xml:space="preserve"> current technology-based instructional programs.</w:t>
      </w:r>
      <w:r>
        <w:t xml:space="preserve"> </w:t>
      </w:r>
    </w:p>
    <w:p w14:paraId="7861C312" w14:textId="77777777" w:rsidR="00BA4A8C" w:rsidRDefault="00BA4A8C" w:rsidP="00EF53DD">
      <w:r>
        <w:t xml:space="preserve">DEED looks to learn from the work of Alaska districts’ initiatives on how educators are embracing personalized learning and how it benefits their students and to share best practices with other districts. As defined by the U.S. Department of Education, personalized learning refers to instruction in which the pace of learning and the instructional approaches and instructional content (and its sequencing) all may vary based on learner needs. In addition, learning activities are meaningful and relevant to learners, driven by interests, and often self-initiated. </w:t>
      </w:r>
    </w:p>
    <w:p w14:paraId="6FAC5641" w14:textId="7044249A" w:rsidR="00BA4A8C" w:rsidRDefault="00BA4A8C" w:rsidP="00424E73">
      <w:pPr>
        <w:rPr>
          <w:rFonts w:ascii="Calibri" w:hAnsi="Calibri"/>
        </w:rPr>
      </w:pPr>
      <w:r>
        <w:rPr>
          <w:rFonts w:ascii="Calibri" w:hAnsi="Calibri"/>
        </w:rPr>
        <w:t>DEED has been</w:t>
      </w:r>
      <w:r w:rsidRPr="00B41397">
        <w:rPr>
          <w:rFonts w:ascii="Calibri" w:hAnsi="Calibri"/>
        </w:rPr>
        <w:t xml:space="preserve"> co</w:t>
      </w:r>
      <w:r>
        <w:rPr>
          <w:rFonts w:ascii="Calibri" w:hAnsi="Calibri"/>
        </w:rPr>
        <w:t xml:space="preserve">llaborating with partners on considering </w:t>
      </w:r>
      <w:r w:rsidRPr="00B41397">
        <w:rPr>
          <w:rFonts w:ascii="Calibri" w:hAnsi="Calibri"/>
        </w:rPr>
        <w:t>micro credentials for recertif</w:t>
      </w:r>
      <w:r>
        <w:rPr>
          <w:rFonts w:ascii="Calibri" w:hAnsi="Calibri"/>
        </w:rPr>
        <w:t xml:space="preserve">ication and university credit based on an inquiry from the University of Alaska. Partners have been gathering information from Digital Promise, </w:t>
      </w:r>
      <w:proofErr w:type="spellStart"/>
      <w:r>
        <w:rPr>
          <w:rFonts w:ascii="Calibri" w:hAnsi="Calibri"/>
        </w:rPr>
        <w:t>BloomBoard</w:t>
      </w:r>
      <w:proofErr w:type="spellEnd"/>
      <w:r>
        <w:rPr>
          <w:rFonts w:ascii="Calibri" w:hAnsi="Calibri"/>
        </w:rPr>
        <w:t xml:space="preserve">, the Tennessee Department of Education, and Kettle Moraine School District in Wisconsin. Increasing </w:t>
      </w:r>
      <w:r w:rsidRPr="00B41397">
        <w:rPr>
          <w:rFonts w:ascii="Calibri" w:hAnsi="Calibri"/>
        </w:rPr>
        <w:t xml:space="preserve">knowledge and usage of the Professional Development definition and the Professional Learning </w:t>
      </w:r>
      <w:r>
        <w:rPr>
          <w:rFonts w:ascii="Calibri" w:hAnsi="Calibri"/>
        </w:rPr>
        <w:t xml:space="preserve">Standards from Learning Forward will be emphasized again this </w:t>
      </w:r>
      <w:r>
        <w:rPr>
          <w:rFonts w:ascii="Calibri" w:hAnsi="Calibri"/>
        </w:rPr>
        <w:lastRenderedPageBreak/>
        <w:t>year. DEED will explore building</w:t>
      </w:r>
      <w:r w:rsidRPr="00B41397">
        <w:rPr>
          <w:rFonts w:ascii="Calibri" w:hAnsi="Calibri"/>
        </w:rPr>
        <w:t xml:space="preserve"> awareness of the recently</w:t>
      </w:r>
      <w:r w:rsidR="00455E8D">
        <w:rPr>
          <w:rFonts w:ascii="Calibri" w:hAnsi="Calibri"/>
        </w:rPr>
        <w:t xml:space="preserve"> revised</w:t>
      </w:r>
      <w:r w:rsidRPr="00B41397">
        <w:rPr>
          <w:rFonts w:ascii="Calibri" w:hAnsi="Calibri"/>
        </w:rPr>
        <w:t xml:space="preserve"> </w:t>
      </w:r>
      <w:hyperlink r:id="rId63" w:history="1">
        <w:r w:rsidR="00455E8D">
          <w:rPr>
            <w:rStyle w:val="Hyperlink"/>
            <w:rFonts w:ascii="Calibri" w:hAnsi="Calibri"/>
          </w:rPr>
          <w:t>national library standards</w:t>
        </w:r>
      </w:hyperlink>
      <w:r>
        <w:rPr>
          <w:rFonts w:ascii="Calibri" w:hAnsi="Calibri"/>
        </w:rPr>
        <w:t xml:space="preserve"> (</w:t>
      </w:r>
      <w:r w:rsidRPr="002B76B6">
        <w:rPr>
          <w:rFonts w:ascii="Calibri" w:hAnsi="Calibri"/>
        </w:rPr>
        <w:t>www.ala.org/aasl/standards/learning</w:t>
      </w:r>
      <w:r>
        <w:rPr>
          <w:rFonts w:ascii="Calibri" w:hAnsi="Calibri"/>
        </w:rPr>
        <w:t xml:space="preserve">) and </w:t>
      </w:r>
      <w:hyperlink r:id="rId64" w:history="1">
        <w:r w:rsidRPr="00455E8D">
          <w:rPr>
            <w:rStyle w:val="Hyperlink"/>
            <w:rFonts w:ascii="Calibri" w:hAnsi="Calibri"/>
          </w:rPr>
          <w:t>technology</w:t>
        </w:r>
        <w:r w:rsidR="00455E8D" w:rsidRPr="00455E8D">
          <w:rPr>
            <w:rStyle w:val="Hyperlink"/>
            <w:rFonts w:ascii="Calibri" w:hAnsi="Calibri"/>
          </w:rPr>
          <w:t xml:space="preserve"> standards</w:t>
        </w:r>
      </w:hyperlink>
      <w:r>
        <w:rPr>
          <w:rFonts w:ascii="Calibri" w:hAnsi="Calibri"/>
        </w:rPr>
        <w:t xml:space="preserve"> (</w:t>
      </w:r>
      <w:r w:rsidRPr="00455E8D">
        <w:rPr>
          <w:rFonts w:ascii="Calibri" w:hAnsi="Calibri"/>
        </w:rPr>
        <w:t>www.iste.org/standards/standards/for-students</w:t>
      </w:r>
      <w:r w:rsidR="00455E8D">
        <w:rPr>
          <w:rFonts w:ascii="Calibri" w:hAnsi="Calibri"/>
        </w:rPr>
        <w:t>)</w:t>
      </w:r>
      <w:r>
        <w:rPr>
          <w:rFonts w:ascii="Calibri" w:hAnsi="Calibri"/>
        </w:rPr>
        <w:t xml:space="preserve">; as well as, </w:t>
      </w:r>
      <w:hyperlink r:id="rId65" w:history="1">
        <w:r w:rsidRPr="00455E8D">
          <w:rPr>
            <w:rStyle w:val="Hyperlink"/>
            <w:rFonts w:ascii="Calibri" w:hAnsi="Calibri"/>
          </w:rPr>
          <w:t>Alaska’s new content standards for art</w:t>
        </w:r>
      </w:hyperlink>
      <w:r w:rsidR="00455E8D">
        <w:rPr>
          <w:rFonts w:ascii="Calibri" w:hAnsi="Calibri"/>
        </w:rPr>
        <w:t xml:space="preserve"> (</w:t>
      </w:r>
      <w:r w:rsidR="00455E8D" w:rsidRPr="00455E8D">
        <w:t>education.alaska.gov/standards</w:t>
      </w:r>
      <w:r w:rsidR="00455E8D">
        <w:t>)</w:t>
      </w:r>
      <w:r>
        <w:rPr>
          <w:rFonts w:ascii="Calibri" w:hAnsi="Calibri"/>
        </w:rPr>
        <w:t>.</w:t>
      </w:r>
    </w:p>
    <w:p w14:paraId="62032405" w14:textId="77777777" w:rsidR="00BA4A8C" w:rsidRPr="007F510B" w:rsidRDefault="00BA4A8C" w:rsidP="00424E73">
      <w:pPr>
        <w:rPr>
          <w:rFonts w:ascii="Calibri" w:hAnsi="Calibri"/>
          <w:b/>
        </w:rPr>
      </w:pPr>
      <w:r w:rsidRPr="007F510B">
        <w:rPr>
          <w:rFonts w:ascii="Calibri" w:hAnsi="Calibri"/>
          <w:b/>
        </w:rPr>
        <w:t xml:space="preserve">Activities </w:t>
      </w:r>
      <w:proofErr w:type="gramStart"/>
      <w:r>
        <w:rPr>
          <w:rFonts w:ascii="Calibri" w:hAnsi="Calibri"/>
          <w:b/>
        </w:rPr>
        <w:t>U</w:t>
      </w:r>
      <w:r w:rsidRPr="007F510B">
        <w:rPr>
          <w:rFonts w:ascii="Calibri" w:hAnsi="Calibri"/>
          <w:b/>
        </w:rPr>
        <w:t>nder</w:t>
      </w:r>
      <w:proofErr w:type="gramEnd"/>
      <w:r w:rsidRPr="007F510B">
        <w:rPr>
          <w:rFonts w:ascii="Calibri" w:hAnsi="Calibri"/>
          <w:b/>
        </w:rPr>
        <w:t xml:space="preserve"> </w:t>
      </w:r>
      <w:r>
        <w:rPr>
          <w:rFonts w:ascii="Calibri" w:hAnsi="Calibri"/>
          <w:b/>
        </w:rPr>
        <w:t>C</w:t>
      </w:r>
      <w:r w:rsidRPr="007F510B">
        <w:rPr>
          <w:rFonts w:ascii="Calibri" w:hAnsi="Calibri"/>
          <w:b/>
        </w:rPr>
        <w:t>onsideration</w:t>
      </w:r>
    </w:p>
    <w:p w14:paraId="1772E536" w14:textId="628D3616" w:rsidR="00BA4A8C" w:rsidRDefault="00BA4A8C" w:rsidP="00424E73">
      <w:pPr>
        <w:autoSpaceDE w:val="0"/>
        <w:autoSpaceDN w:val="0"/>
        <w:adjustRightInd w:val="0"/>
        <w:rPr>
          <w:rStyle w:val="eventname"/>
        </w:rPr>
      </w:pPr>
      <w:r>
        <w:rPr>
          <w:rStyle w:val="eventname"/>
        </w:rPr>
        <w:t>DEED will be considering an Induction Initiative to help with high rates of teacher turnover in Alaska.</w:t>
      </w:r>
      <w:r w:rsidRPr="005F69B6">
        <w:rPr>
          <w:b/>
        </w:rPr>
        <w:t xml:space="preserve"> </w:t>
      </w:r>
      <w:r w:rsidRPr="00C478AD">
        <w:rPr>
          <w:i/>
        </w:rPr>
        <w:t>The Cost of Teacher Turnover in Alaska</w:t>
      </w:r>
      <w:r>
        <w:t xml:space="preserve">, </w:t>
      </w:r>
      <w:hyperlink r:id="rId66" w:history="1">
        <w:r w:rsidRPr="00455E8D">
          <w:rPr>
            <w:rStyle w:val="Hyperlink"/>
          </w:rPr>
          <w:t>a study by the Center for Alaska Education Policy Research at the Institute of Social and Economic Research</w:t>
        </w:r>
      </w:hyperlink>
      <w:r>
        <w:t xml:space="preserve"> (</w:t>
      </w:r>
      <w:r w:rsidR="00455E8D" w:rsidRPr="00455E8D">
        <w:t>http://www.iser.uaa.alaska.edu/Publications/2017-CostTeacher.pdf</w:t>
      </w:r>
      <w:r>
        <w:t xml:space="preserve">), estimates a cost of $20 million per year to school districts. </w:t>
      </w:r>
      <w:r>
        <w:rPr>
          <w:rStyle w:val="eventname"/>
        </w:rPr>
        <w:t xml:space="preserve">DEED will begin with a review of other State guidelines (e.g., Hawaii, which has similar geographical challenges). The review will identify promising practices that can be adapted to Alaska. Additionally, DEED will examine Alaska districts’ existing induction programs for practices that can be replicated throughout Alaska. </w:t>
      </w:r>
    </w:p>
    <w:p w14:paraId="22A1ACE1" w14:textId="60BD6AE6" w:rsidR="00BA4A8C" w:rsidRDefault="00BA4A8C" w:rsidP="00424E73">
      <w:pPr>
        <w:tabs>
          <w:tab w:val="left" w:pos="7006"/>
        </w:tabs>
        <w:rPr>
          <w:rFonts w:ascii="Calibri" w:eastAsiaTheme="minorEastAsia" w:hAnsi="Calibri"/>
        </w:rPr>
      </w:pPr>
      <w:r>
        <w:rPr>
          <w:rFonts w:ascii="Calibri" w:eastAsiaTheme="minorEastAsia" w:hAnsi="Calibri"/>
        </w:rPr>
        <w:t>DEED will be exploring establishing a teacher leader program to allow o</w:t>
      </w:r>
      <w:r w:rsidRPr="00835355">
        <w:rPr>
          <w:rFonts w:cs="Times New Roman"/>
        </w:rPr>
        <w:t xml:space="preserve">pportunities for teachers to exercise leadership roles without leaving the classroom entirely. </w:t>
      </w:r>
      <w:r>
        <w:rPr>
          <w:rFonts w:cs="Times New Roman"/>
        </w:rPr>
        <w:t xml:space="preserve">Sharing the </w:t>
      </w:r>
      <w:hyperlink r:id="rId67" w:history="1">
        <w:r w:rsidRPr="006B43D8">
          <w:rPr>
            <w:rStyle w:val="Hyperlink"/>
            <w:rFonts w:cs="Times New Roman"/>
          </w:rPr>
          <w:t>Teacher Leader Model Standards</w:t>
        </w:r>
      </w:hyperlink>
      <w:r>
        <w:rPr>
          <w:rFonts w:cs="Times New Roman"/>
        </w:rPr>
        <w:t xml:space="preserve"> </w:t>
      </w:r>
      <w:r w:rsidR="00B73A8F">
        <w:rPr>
          <w:rFonts w:cs="Times New Roman"/>
        </w:rPr>
        <w:t>(</w:t>
      </w:r>
      <w:r w:rsidR="00B73A8F" w:rsidRPr="00B73A8F">
        <w:rPr>
          <w:rFonts w:cs="Times New Roman"/>
        </w:rPr>
        <w:t>www.ets.org/s/education_topics/teaching_quality/pdf/teacher_leader_model_standards.pdf</w:t>
      </w:r>
      <w:r w:rsidR="00B73A8F">
        <w:rPr>
          <w:rFonts w:cs="Times New Roman"/>
        </w:rPr>
        <w:t xml:space="preserve">) </w:t>
      </w:r>
      <w:r>
        <w:rPr>
          <w:rFonts w:cs="Times New Roman"/>
        </w:rPr>
        <w:t xml:space="preserve">with districts will be one of the first steps. </w:t>
      </w:r>
      <w:r w:rsidRPr="00835355">
        <w:rPr>
          <w:rFonts w:cs="Times New Roman"/>
        </w:rPr>
        <w:t>DEE</w:t>
      </w:r>
      <w:r w:rsidRPr="009B17B0">
        <w:rPr>
          <w:rFonts w:cs="Times New Roman"/>
        </w:rPr>
        <w:t>D will also leverage promising practice</w:t>
      </w:r>
      <w:r>
        <w:rPr>
          <w:rFonts w:cs="Times New Roman"/>
        </w:rPr>
        <w:t>s</w:t>
      </w:r>
      <w:r w:rsidRPr="009B17B0">
        <w:rPr>
          <w:rFonts w:cs="Times New Roman"/>
        </w:rPr>
        <w:t xml:space="preserve"> in Alaska and recommendations from the research in this area, especially as DEED leadership provided input into this research (i.e., </w:t>
      </w:r>
      <w:hyperlink r:id="rId68" w:history="1">
        <w:r w:rsidRPr="00835355">
          <w:rPr>
            <w:rStyle w:val="Hyperlink"/>
            <w:rFonts w:cs="Times New Roman"/>
          </w:rPr>
          <w:t>teacher career advancement initiatives</w:t>
        </w:r>
      </w:hyperlink>
      <w:r w:rsidR="00B73A8F">
        <w:rPr>
          <w:rStyle w:val="Hyperlink"/>
          <w:rFonts w:cs="Times New Roman"/>
        </w:rPr>
        <w:t xml:space="preserve"> </w:t>
      </w:r>
      <w:r w:rsidR="00B73A8F" w:rsidRPr="00B73A8F">
        <w:rPr>
          <w:rStyle w:val="Hyperlink"/>
          <w:rFonts w:cs="Times New Roman"/>
          <w:color w:val="auto"/>
          <w:u w:val="none"/>
        </w:rPr>
        <w:t>(www.nnstoy.org/wp-content/uploads/2016/03/RINVN829_Teacher-Career-Adv-Initiatives_Rpt_WEB_f.pdf)</w:t>
      </w:r>
      <w:r w:rsidRPr="00B73A8F">
        <w:rPr>
          <w:rStyle w:val="Hyperlink"/>
          <w:rFonts w:cs="Times New Roman"/>
          <w:color w:val="auto"/>
          <w:u w:val="none"/>
        </w:rPr>
        <w:t>)</w:t>
      </w:r>
      <w:r w:rsidR="00B73A8F">
        <w:rPr>
          <w:rStyle w:val="Hyperlink"/>
          <w:rFonts w:cs="Times New Roman"/>
          <w:color w:val="auto"/>
          <w:u w:val="none"/>
        </w:rPr>
        <w:t>.</w:t>
      </w:r>
    </w:p>
    <w:p w14:paraId="42A87928" w14:textId="77777777" w:rsidR="00BA4A8C" w:rsidRDefault="00BA4A8C" w:rsidP="00424E73">
      <w:pPr>
        <w:tabs>
          <w:tab w:val="left" w:pos="7006"/>
        </w:tabs>
        <w:rPr>
          <w:rFonts w:ascii="Calibri" w:eastAsiaTheme="minorEastAsia" w:hAnsi="Calibri"/>
        </w:rPr>
      </w:pPr>
      <w:r>
        <w:rPr>
          <w:rFonts w:ascii="Calibri" w:eastAsiaTheme="minorEastAsia" w:hAnsi="Calibri"/>
        </w:rPr>
        <w:t xml:space="preserve">DEED will be looking at initiatives to support principals and other schools leaders through partnerships. DEED will reserve the optional three percent funds of the allowable Title II, Part A funds in anticipation of these initiatives. </w:t>
      </w:r>
      <w:r w:rsidRPr="00E765F0">
        <w:rPr>
          <w:rFonts w:ascii="Calibri" w:eastAsiaTheme="minorEastAsia" w:hAnsi="Calibri"/>
        </w:rPr>
        <w:t xml:space="preserve">DEED may consider reserving </w:t>
      </w:r>
      <w:r>
        <w:rPr>
          <w:rFonts w:ascii="Calibri" w:eastAsiaTheme="minorEastAsia" w:hAnsi="Calibri"/>
        </w:rPr>
        <w:t>two percent</w:t>
      </w:r>
      <w:r w:rsidRPr="00E765F0">
        <w:rPr>
          <w:rFonts w:ascii="Calibri" w:eastAsiaTheme="minorEastAsia" w:hAnsi="Calibri"/>
        </w:rPr>
        <w:t xml:space="preserve"> of the Title II</w:t>
      </w:r>
      <w:r>
        <w:rPr>
          <w:rFonts w:ascii="Calibri" w:eastAsiaTheme="minorEastAsia" w:hAnsi="Calibri"/>
        </w:rPr>
        <w:t xml:space="preserve">, Part </w:t>
      </w:r>
      <w:r w:rsidRPr="00E765F0">
        <w:rPr>
          <w:rFonts w:ascii="Calibri" w:eastAsiaTheme="minorEastAsia" w:hAnsi="Calibri"/>
        </w:rPr>
        <w:t xml:space="preserve">A </w:t>
      </w:r>
      <w:r>
        <w:rPr>
          <w:rFonts w:ascii="Calibri" w:eastAsiaTheme="minorEastAsia" w:hAnsi="Calibri"/>
        </w:rPr>
        <w:t>s</w:t>
      </w:r>
      <w:r w:rsidRPr="00E765F0">
        <w:rPr>
          <w:rFonts w:ascii="Calibri" w:eastAsiaTheme="minorEastAsia" w:hAnsi="Calibri"/>
        </w:rPr>
        <w:t xml:space="preserve">tate level activities </w:t>
      </w:r>
      <w:r>
        <w:rPr>
          <w:rFonts w:ascii="Calibri" w:eastAsiaTheme="minorEastAsia" w:hAnsi="Calibri"/>
        </w:rPr>
        <w:t xml:space="preserve">funds </w:t>
      </w:r>
      <w:r w:rsidRPr="00E765F0">
        <w:rPr>
          <w:rFonts w:ascii="Calibri" w:eastAsiaTheme="minorEastAsia" w:hAnsi="Calibri"/>
        </w:rPr>
        <w:t xml:space="preserve">to explore </w:t>
      </w:r>
      <w:r>
        <w:rPr>
          <w:rFonts w:ascii="Calibri" w:eastAsiaTheme="minorEastAsia" w:hAnsi="Calibri"/>
        </w:rPr>
        <w:t xml:space="preserve">the </w:t>
      </w:r>
      <w:r w:rsidRPr="00E765F0">
        <w:rPr>
          <w:rFonts w:ascii="Calibri" w:eastAsiaTheme="minorEastAsia" w:hAnsi="Calibri"/>
        </w:rPr>
        <w:t>creation of teacher/leader academies in conjunction with funds</w:t>
      </w:r>
      <w:r>
        <w:rPr>
          <w:rFonts w:ascii="Calibri" w:eastAsiaTheme="minorEastAsia" w:hAnsi="Calibri"/>
        </w:rPr>
        <w:t xml:space="preserve"> mentioned</w:t>
      </w:r>
      <w:r w:rsidRPr="00E765F0">
        <w:rPr>
          <w:rFonts w:ascii="Calibri" w:eastAsiaTheme="minorEastAsia" w:hAnsi="Calibri"/>
        </w:rPr>
        <w:t xml:space="preserve"> above. By having academies specific to Alaska, the </w:t>
      </w:r>
      <w:r w:rsidRPr="00C478AD">
        <w:rPr>
          <w:i/>
        </w:rPr>
        <w:t>Guidelines for Preparing Culturally Responsive Teachers for Alaska's Schools</w:t>
      </w:r>
      <w:r w:rsidRPr="00E765F0">
        <w:t>, published by the Alaska Native Knowledge Network, revised as of February 2, 1999, can be embedded in the design.</w:t>
      </w:r>
    </w:p>
    <w:p w14:paraId="3C93DC31" w14:textId="77777777" w:rsidR="00BA4A8C" w:rsidRDefault="00BA4A8C" w:rsidP="00424E73">
      <w:pPr>
        <w:rPr>
          <w:rFonts w:ascii="Calibri" w:hAnsi="Calibri"/>
        </w:rPr>
      </w:pPr>
      <w:r w:rsidRPr="00B41397">
        <w:rPr>
          <w:rFonts w:ascii="Calibri" w:hAnsi="Calibri"/>
        </w:rPr>
        <w:t xml:space="preserve">DEED will be </w:t>
      </w:r>
      <w:r>
        <w:rPr>
          <w:rFonts w:ascii="Calibri" w:hAnsi="Calibri"/>
        </w:rPr>
        <w:t xml:space="preserve">using Title II, Part A funds to address disproportionate rates of access to educators as outlined earlier under Title I and below in D.2. DEED uses teacher certification receipts to support the Certification and Licensure Systems and Educator Preparation Program Strategies as outlined below. </w:t>
      </w:r>
    </w:p>
    <w:p w14:paraId="4D7317B1" w14:textId="77777777" w:rsidR="00BA4A8C" w:rsidRDefault="00BA4A8C" w:rsidP="00424E73">
      <w:pPr>
        <w:tabs>
          <w:tab w:val="left" w:pos="7006"/>
        </w:tabs>
        <w:rPr>
          <w:rFonts w:ascii="Calibri" w:eastAsiaTheme="minorEastAsia" w:hAnsi="Calibri"/>
          <w:b/>
        </w:rPr>
      </w:pPr>
      <w:r w:rsidRPr="007F510B">
        <w:rPr>
          <w:rFonts w:ascii="Calibri" w:eastAsiaTheme="minorEastAsia" w:hAnsi="Calibri"/>
          <w:b/>
        </w:rPr>
        <w:t>Activities</w:t>
      </w:r>
      <w:r>
        <w:rPr>
          <w:rFonts w:ascii="Calibri" w:eastAsiaTheme="minorEastAsia" w:hAnsi="Calibri"/>
          <w:b/>
        </w:rPr>
        <w:t xml:space="preserve"> informed by Alaska’s Education Challenge</w:t>
      </w:r>
    </w:p>
    <w:p w14:paraId="3FFE1100" w14:textId="77777777" w:rsidR="00BA4A8C" w:rsidRPr="00B41397" w:rsidRDefault="00BA4A8C" w:rsidP="00424E73">
      <w:pPr>
        <w:rPr>
          <w:rFonts w:ascii="Calibri" w:hAnsi="Calibri"/>
        </w:rPr>
      </w:pPr>
      <w:r>
        <w:rPr>
          <w:rFonts w:ascii="Calibri" w:hAnsi="Calibri"/>
        </w:rPr>
        <w:t xml:space="preserve">DEED </w:t>
      </w:r>
      <w:r w:rsidRPr="00B41397">
        <w:rPr>
          <w:rFonts w:ascii="Calibri" w:hAnsi="Calibri"/>
        </w:rPr>
        <w:t>has started the Alaska’s Education Challenge to address our student achievement gaps and increase our graduation rates by making sure that every student across our state has equal opportunities to learn and succeed. Through a process of gathering public input, the State Board of Education has already identified five priorities for Alaska’s public education system: Improve Student Learning, Ensure Excellent Educators, Modernize the Education System, Inspire Tribal and Community Ownership</w:t>
      </w:r>
      <w:r>
        <w:rPr>
          <w:rFonts w:ascii="Calibri" w:hAnsi="Calibri"/>
        </w:rPr>
        <w:t xml:space="preserve"> of Educational Excellence</w:t>
      </w:r>
      <w:r w:rsidRPr="00B41397">
        <w:rPr>
          <w:rFonts w:ascii="Calibri" w:hAnsi="Calibri"/>
        </w:rPr>
        <w:t>, and Promote Safety and Well-</w:t>
      </w:r>
      <w:r>
        <w:rPr>
          <w:rFonts w:ascii="Calibri" w:hAnsi="Calibri"/>
        </w:rPr>
        <w:t>B</w:t>
      </w:r>
      <w:r w:rsidRPr="00B41397">
        <w:rPr>
          <w:rFonts w:ascii="Calibri" w:hAnsi="Calibri"/>
        </w:rPr>
        <w:t xml:space="preserve">eing. </w:t>
      </w:r>
      <w:r>
        <w:rPr>
          <w:rFonts w:ascii="Calibri" w:hAnsi="Calibri"/>
        </w:rPr>
        <w:t xml:space="preserve">Future Title II, Part </w:t>
      </w:r>
      <w:proofErr w:type="gramStart"/>
      <w:r>
        <w:rPr>
          <w:rFonts w:ascii="Calibri" w:hAnsi="Calibri"/>
        </w:rPr>
        <w:t>A</w:t>
      </w:r>
      <w:proofErr w:type="gramEnd"/>
      <w:r>
        <w:rPr>
          <w:rFonts w:ascii="Calibri" w:hAnsi="Calibri"/>
        </w:rPr>
        <w:t xml:space="preserve"> activities will be informed by the transformational ideas that are proposed by t</w:t>
      </w:r>
      <w:r w:rsidRPr="00B41397">
        <w:rPr>
          <w:rFonts w:ascii="Calibri" w:hAnsi="Calibri"/>
        </w:rPr>
        <w:t>he Ensure Excellent Educators</w:t>
      </w:r>
      <w:r>
        <w:rPr>
          <w:rFonts w:ascii="Calibri" w:hAnsi="Calibri"/>
        </w:rPr>
        <w:t xml:space="preserve"> committee.</w:t>
      </w:r>
    </w:p>
    <w:p w14:paraId="5901C1A9" w14:textId="77777777" w:rsidR="00BA4A8C" w:rsidRPr="00B41397" w:rsidRDefault="00BA4A8C" w:rsidP="0063137D">
      <w:pPr>
        <w:autoSpaceDE w:val="0"/>
        <w:autoSpaceDN w:val="0"/>
        <w:adjustRightInd w:val="0"/>
        <w:rPr>
          <w:rFonts w:ascii="Calibri" w:hAnsi="Calibri"/>
        </w:rPr>
      </w:pPr>
      <w:r w:rsidRPr="009B17B0">
        <w:rPr>
          <w:rFonts w:cs="Times New Roman"/>
        </w:rPr>
        <w:t xml:space="preserve">The responsibility of DEED </w:t>
      </w:r>
      <w:r>
        <w:rPr>
          <w:rFonts w:cs="Times New Roman"/>
        </w:rPr>
        <w:t xml:space="preserve">is </w:t>
      </w:r>
      <w:r w:rsidRPr="009B17B0">
        <w:rPr>
          <w:rFonts w:cs="Times New Roman"/>
        </w:rPr>
        <w:t xml:space="preserve">to identify appropriate federal funds to launch high-quality, </w:t>
      </w:r>
      <w:r>
        <w:rPr>
          <w:rFonts w:cs="Times New Roman"/>
        </w:rPr>
        <w:t>cohesive</w:t>
      </w:r>
      <w:r w:rsidRPr="009B17B0">
        <w:rPr>
          <w:rFonts w:cs="Times New Roman"/>
        </w:rPr>
        <w:t xml:space="preserve"> professional development initiatives available to districts to support </w:t>
      </w:r>
      <w:r>
        <w:rPr>
          <w:rFonts w:cs="Times New Roman"/>
        </w:rPr>
        <w:t xml:space="preserve">the </w:t>
      </w:r>
      <w:r w:rsidRPr="009B17B0">
        <w:rPr>
          <w:rFonts w:cs="Times New Roman"/>
        </w:rPr>
        <w:t xml:space="preserve">implementation of college- and </w:t>
      </w:r>
      <w:r w:rsidRPr="009B17B0">
        <w:rPr>
          <w:rFonts w:cs="Times New Roman"/>
        </w:rPr>
        <w:lastRenderedPageBreak/>
        <w:t>career-ready standards, school cl</w:t>
      </w:r>
      <w:r>
        <w:rPr>
          <w:rFonts w:cs="Times New Roman"/>
        </w:rPr>
        <w:t>imate and culture, s</w:t>
      </w:r>
      <w:r w:rsidRPr="009B17B0">
        <w:rPr>
          <w:rFonts w:cs="Times New Roman"/>
        </w:rPr>
        <w:t>pecial populations, and school planning and support. These activities may consist of foundational professional development opportunities that would be available to all educators and address key areas of policy and practice, and specialized</w:t>
      </w:r>
      <w:r>
        <w:rPr>
          <w:rFonts w:cs="Times New Roman"/>
        </w:rPr>
        <w:t xml:space="preserve">, </w:t>
      </w:r>
      <w:r w:rsidRPr="009B17B0">
        <w:rPr>
          <w:rFonts w:cs="Times New Roman"/>
        </w:rPr>
        <w:t>professional development opportunities anchored in communities of practice which focus on particular areas of practice. They may target classroom teachers, teacher leaders, school and/or district leaders, and community partners as appropriate. Training and programming would be informed by stakeholder input, student achievement data, and priority implementation areas.</w:t>
      </w:r>
    </w:p>
    <w:p w14:paraId="554EF48A" w14:textId="4EA382EB" w:rsidR="00B73A8F" w:rsidRDefault="00BA4A8C" w:rsidP="00B73A8F">
      <w:pPr>
        <w:pStyle w:val="Heading2"/>
        <w:numPr>
          <w:ilvl w:val="0"/>
          <w:numId w:val="98"/>
        </w:numPr>
      </w:pPr>
      <w:r w:rsidRPr="00B41397">
        <w:t xml:space="preserve">Use of Funds to Improve Equitable Access to Teachers in Title I, Part </w:t>
      </w:r>
      <w:proofErr w:type="gramStart"/>
      <w:r w:rsidRPr="00B41397">
        <w:t>A</w:t>
      </w:r>
      <w:proofErr w:type="gramEnd"/>
      <w:r w:rsidRPr="00B41397">
        <w:t xml:space="preserve"> Schools</w:t>
      </w:r>
    </w:p>
    <w:p w14:paraId="7DD47611" w14:textId="29AFB8BD" w:rsidR="00BA4A8C" w:rsidRPr="00B41397" w:rsidRDefault="00BA4A8C" w:rsidP="00B73A8F">
      <w:pPr>
        <w:autoSpaceDE w:val="0"/>
        <w:autoSpaceDN w:val="0"/>
        <w:adjustRightInd w:val="0"/>
        <w:ind w:left="337"/>
        <w:rPr>
          <w:rFonts w:ascii="Calibri" w:hAnsi="Calibri" w:cs="Times New Roman"/>
          <w:color w:val="000000"/>
        </w:rPr>
      </w:pPr>
      <w:r w:rsidRPr="00B41397">
        <w:rPr>
          <w:rFonts w:ascii="Calibri" w:hAnsi="Calibri" w:cs="Times New Roman"/>
          <w:i/>
          <w:iCs/>
          <w:color w:val="000000"/>
        </w:rPr>
        <w:t>(ESEA section 2101(d)(2)(E))</w:t>
      </w:r>
      <w:r w:rsidRPr="00B41397">
        <w:rPr>
          <w:rFonts w:ascii="Calibri" w:hAnsi="Calibri" w:cs="Times New Roman"/>
          <w:color w:val="000000"/>
        </w:rPr>
        <w:t xml:space="preserve">: If an SEA plans to use Title II, Part A funds to improve equitable access to effective teachers, consistent with ESEA section 1111(g)(1)(B), describe how such funds will be used for this purpose. </w:t>
      </w:r>
    </w:p>
    <w:p w14:paraId="6EEDE331" w14:textId="77777777" w:rsidR="00BA4A8C" w:rsidRPr="00B41397" w:rsidRDefault="00BA4A8C" w:rsidP="00424E73">
      <w:pPr>
        <w:rPr>
          <w:rFonts w:ascii="Calibri" w:hAnsi="Calibri"/>
        </w:rPr>
      </w:pPr>
      <w:r>
        <w:rPr>
          <w:rFonts w:ascii="Calibri" w:hAnsi="Calibri"/>
        </w:rPr>
        <w:t>DEED</w:t>
      </w:r>
      <w:r w:rsidRPr="00B41397">
        <w:rPr>
          <w:rFonts w:ascii="Calibri" w:hAnsi="Calibri"/>
        </w:rPr>
        <w:t xml:space="preserve"> will be using Title II, Part A funds to improve equitable access to effective teachers for low-income and minority students enrolled in schools assisted under Title I, Part A. The following activities will need to be conducted:</w:t>
      </w:r>
    </w:p>
    <w:p w14:paraId="3731B527" w14:textId="77777777" w:rsidR="00BA4A8C" w:rsidRPr="00B41397" w:rsidRDefault="00BA4A8C" w:rsidP="00BA1524">
      <w:pPr>
        <w:numPr>
          <w:ilvl w:val="0"/>
          <w:numId w:val="23"/>
        </w:numPr>
        <w:rPr>
          <w:rFonts w:ascii="Calibri" w:hAnsi="Calibri"/>
        </w:rPr>
      </w:pPr>
      <w:r w:rsidRPr="00B41397">
        <w:rPr>
          <w:rFonts w:ascii="Calibri" w:hAnsi="Calibri"/>
        </w:rPr>
        <w:t xml:space="preserve">DEED </w:t>
      </w:r>
      <w:r>
        <w:rPr>
          <w:rFonts w:ascii="Calibri" w:hAnsi="Calibri"/>
        </w:rPr>
        <w:t>currently collects data at the district level on the levels of support that identify teachers as ineffective. Data will need to be collected at the school level and the earliest data collection would be for the 2018-2019 school year.</w:t>
      </w:r>
    </w:p>
    <w:p w14:paraId="08FF77CE" w14:textId="77777777" w:rsidR="00BA4A8C" w:rsidRPr="00B41397" w:rsidRDefault="00BA4A8C" w:rsidP="00BA1524">
      <w:pPr>
        <w:numPr>
          <w:ilvl w:val="0"/>
          <w:numId w:val="23"/>
        </w:numPr>
        <w:rPr>
          <w:rFonts w:ascii="Calibri" w:hAnsi="Calibri"/>
        </w:rPr>
      </w:pPr>
      <w:r w:rsidRPr="00B41397">
        <w:rPr>
          <w:rFonts w:ascii="Calibri" w:hAnsi="Calibri"/>
        </w:rPr>
        <w:t xml:space="preserve">DEED </w:t>
      </w:r>
      <w:r>
        <w:rPr>
          <w:rFonts w:ascii="Calibri" w:hAnsi="Calibri"/>
        </w:rPr>
        <w:t xml:space="preserve">will continue to </w:t>
      </w:r>
      <w:r w:rsidRPr="00B41397">
        <w:rPr>
          <w:rFonts w:ascii="Calibri" w:hAnsi="Calibri"/>
        </w:rPr>
        <w:t xml:space="preserve">provide technical assistance to districts in understanding the </w:t>
      </w:r>
      <w:r>
        <w:rPr>
          <w:rFonts w:ascii="Calibri" w:hAnsi="Calibri"/>
        </w:rPr>
        <w:t>definition of i</w:t>
      </w:r>
      <w:r w:rsidRPr="00B41397">
        <w:rPr>
          <w:rFonts w:ascii="Calibri" w:hAnsi="Calibri"/>
        </w:rPr>
        <w:t xml:space="preserve">neffective </w:t>
      </w:r>
      <w:r>
        <w:rPr>
          <w:rFonts w:ascii="Calibri" w:hAnsi="Calibri"/>
        </w:rPr>
        <w:t>t</w:t>
      </w:r>
      <w:r w:rsidRPr="00B41397">
        <w:rPr>
          <w:rFonts w:ascii="Calibri" w:hAnsi="Calibri"/>
        </w:rPr>
        <w:t xml:space="preserve">eacher and </w:t>
      </w:r>
      <w:r>
        <w:rPr>
          <w:rFonts w:ascii="Calibri" w:hAnsi="Calibri"/>
        </w:rPr>
        <w:t>gathering the required data to determine disproportionate rates of access to educators.</w:t>
      </w:r>
    </w:p>
    <w:p w14:paraId="4BA3DD1F" w14:textId="77777777" w:rsidR="00BA4A8C" w:rsidRDefault="00BA4A8C" w:rsidP="00BA1524">
      <w:pPr>
        <w:numPr>
          <w:ilvl w:val="0"/>
          <w:numId w:val="23"/>
        </w:numPr>
        <w:rPr>
          <w:rFonts w:ascii="Calibri" w:hAnsi="Calibri"/>
        </w:rPr>
      </w:pPr>
      <w:r w:rsidRPr="00B41397">
        <w:rPr>
          <w:rFonts w:ascii="Calibri" w:hAnsi="Calibri"/>
        </w:rPr>
        <w:t xml:space="preserve">DEED will </w:t>
      </w:r>
      <w:r>
        <w:rPr>
          <w:rFonts w:ascii="Calibri" w:hAnsi="Calibri"/>
        </w:rPr>
        <w:t>continue</w:t>
      </w:r>
      <w:r w:rsidRPr="00B41397">
        <w:rPr>
          <w:rFonts w:ascii="Calibri" w:hAnsi="Calibri"/>
        </w:rPr>
        <w:t xml:space="preserve"> its multi-phase approach that was outlined in </w:t>
      </w:r>
      <w:r>
        <w:rPr>
          <w:rFonts w:ascii="Calibri" w:hAnsi="Calibri"/>
        </w:rPr>
        <w:t xml:space="preserve">the plan to reduce disproportionate rates of access to educators (see section A.5). This approach will include increasing awareness of educator equity gaps, particularly focusing on the definition of ineffective teachers. DEED will support the districts below, which were shown to have the most disproportionate rates of access to excellent educators from Alaska’s 2015 equity plan. Once data using the new definitions has been collected, Alaska will recalculate the disproportionate rates </w:t>
      </w:r>
      <w:r w:rsidRPr="00043C27">
        <w:rPr>
          <w:rFonts w:ascii="Calibri" w:hAnsi="Calibri"/>
        </w:rPr>
        <w:t xml:space="preserve">and determine </w:t>
      </w:r>
      <w:r>
        <w:rPr>
          <w:rFonts w:ascii="Calibri" w:hAnsi="Calibri"/>
        </w:rPr>
        <w:t xml:space="preserve">which districts have the greatest need for support based on disproportionate rates of access to educators. </w:t>
      </w:r>
    </w:p>
    <w:p w14:paraId="4ABE179E" w14:textId="77777777" w:rsidR="00BA4A8C" w:rsidRDefault="00BA4A8C" w:rsidP="00424E73">
      <w:pPr>
        <w:ind w:left="720"/>
        <w:jc w:val="both"/>
        <w:rPr>
          <w:rFonts w:ascii="Calibri" w:hAnsi="Calibri"/>
        </w:rPr>
      </w:pPr>
      <w:r>
        <w:rPr>
          <w:noProof/>
        </w:rPr>
        <w:lastRenderedPageBreak/>
        <w:drawing>
          <wp:inline distT="0" distB="0" distL="0" distR="0" wp14:anchorId="23FA947F" wp14:editId="07C47F9D">
            <wp:extent cx="5284381" cy="2892860"/>
            <wp:effectExtent l="0" t="0" r="0" b="3175"/>
            <wp:docPr id="2" name="Picture 2" descr="map of alaska highlighting those districts that need assistance: North Slope, Yukon Flats, Northwest Arctic, Bering Strait, Yukon-Koyukuk, Iditarod, Kuspuk, Lower Yukon, Lower Kuskokwim, Yupiit, Kashunamiut, Southwes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419528" cy="2966844"/>
                    </a:xfrm>
                    <a:prstGeom prst="rect">
                      <a:avLst/>
                    </a:prstGeom>
                  </pic:spPr>
                </pic:pic>
              </a:graphicData>
            </a:graphic>
          </wp:inline>
        </w:drawing>
      </w:r>
    </w:p>
    <w:p w14:paraId="3770ED7A" w14:textId="77777777" w:rsidR="00BA4A8C" w:rsidRPr="00B41397" w:rsidRDefault="00BA4A8C" w:rsidP="00BA1524">
      <w:pPr>
        <w:numPr>
          <w:ilvl w:val="0"/>
          <w:numId w:val="23"/>
        </w:numPr>
        <w:rPr>
          <w:rFonts w:ascii="Calibri" w:hAnsi="Calibri"/>
        </w:rPr>
      </w:pPr>
      <w:r w:rsidRPr="00B41397">
        <w:rPr>
          <w:rFonts w:ascii="Calibri" w:hAnsi="Calibri"/>
        </w:rPr>
        <w:t xml:space="preserve">DEED will provide technical assistance to all districts </w:t>
      </w:r>
      <w:r>
        <w:rPr>
          <w:rFonts w:ascii="Calibri" w:hAnsi="Calibri"/>
        </w:rPr>
        <w:t xml:space="preserve">in </w:t>
      </w:r>
      <w:r w:rsidRPr="00B41397">
        <w:rPr>
          <w:rFonts w:ascii="Calibri" w:hAnsi="Calibri"/>
        </w:rPr>
        <w:t xml:space="preserve">using the results of their </w:t>
      </w:r>
      <w:r>
        <w:rPr>
          <w:rFonts w:ascii="Calibri" w:hAnsi="Calibri"/>
        </w:rPr>
        <w:t>e</w:t>
      </w:r>
      <w:r w:rsidRPr="00B41397">
        <w:rPr>
          <w:rFonts w:ascii="Calibri" w:hAnsi="Calibri"/>
        </w:rPr>
        <w:t xml:space="preserve">ducator </w:t>
      </w:r>
      <w:r>
        <w:rPr>
          <w:rFonts w:ascii="Calibri" w:hAnsi="Calibri"/>
        </w:rPr>
        <w:t>e</w:t>
      </w:r>
      <w:r w:rsidRPr="00B41397">
        <w:rPr>
          <w:rFonts w:ascii="Calibri" w:hAnsi="Calibri"/>
        </w:rPr>
        <w:t xml:space="preserve">valuation </w:t>
      </w:r>
      <w:r>
        <w:rPr>
          <w:rFonts w:ascii="Calibri" w:hAnsi="Calibri"/>
        </w:rPr>
        <w:t>and</w:t>
      </w:r>
      <w:r w:rsidRPr="00B41397">
        <w:rPr>
          <w:rFonts w:ascii="Calibri" w:hAnsi="Calibri"/>
        </w:rPr>
        <w:t xml:space="preserve"> </w:t>
      </w:r>
      <w:r>
        <w:rPr>
          <w:rFonts w:ascii="Calibri" w:hAnsi="Calibri"/>
        </w:rPr>
        <w:t>s</w:t>
      </w:r>
      <w:r w:rsidRPr="00B41397">
        <w:rPr>
          <w:rFonts w:ascii="Calibri" w:hAnsi="Calibri"/>
        </w:rPr>
        <w:t>upport systems. This technical assistance will be using Title II, Part A funds to meet the following purposes of the Title II</w:t>
      </w:r>
      <w:r>
        <w:rPr>
          <w:rFonts w:ascii="Calibri" w:hAnsi="Calibri"/>
        </w:rPr>
        <w:t xml:space="preserve">, Part </w:t>
      </w:r>
      <w:r w:rsidRPr="00B41397">
        <w:rPr>
          <w:rFonts w:ascii="Calibri" w:hAnsi="Calibri"/>
        </w:rPr>
        <w:t>A program:</w:t>
      </w:r>
    </w:p>
    <w:p w14:paraId="02533565" w14:textId="77777777" w:rsidR="00BA4A8C" w:rsidRPr="007F510B" w:rsidRDefault="00BA4A8C" w:rsidP="006641B6">
      <w:pPr>
        <w:pStyle w:val="ListParagraph"/>
        <w:numPr>
          <w:ilvl w:val="0"/>
          <w:numId w:val="56"/>
        </w:numPr>
        <w:rPr>
          <w:rFonts w:ascii="Calibri" w:hAnsi="Calibri"/>
        </w:rPr>
      </w:pPr>
      <w:r w:rsidRPr="007F510B">
        <w:rPr>
          <w:rFonts w:ascii="Calibri" w:hAnsi="Calibri"/>
        </w:rPr>
        <w:t>Improve the quality and effectiveness of teachers, principals, and other school leaders;</w:t>
      </w:r>
    </w:p>
    <w:p w14:paraId="4D340F86" w14:textId="77777777" w:rsidR="00BA4A8C" w:rsidRPr="007F510B" w:rsidRDefault="00BA4A8C" w:rsidP="006641B6">
      <w:pPr>
        <w:pStyle w:val="ListParagraph"/>
        <w:numPr>
          <w:ilvl w:val="0"/>
          <w:numId w:val="56"/>
        </w:numPr>
        <w:rPr>
          <w:rFonts w:ascii="Calibri" w:hAnsi="Calibri"/>
        </w:rPr>
      </w:pPr>
      <w:r w:rsidRPr="007F510B">
        <w:rPr>
          <w:rFonts w:ascii="Calibri" w:hAnsi="Calibri"/>
        </w:rPr>
        <w:t>Increase the number of teachers, principals, and other school leaders who are effective in improving student academic achievement in schools; and</w:t>
      </w:r>
    </w:p>
    <w:p w14:paraId="61446B7C" w14:textId="77777777" w:rsidR="00BA4A8C" w:rsidRDefault="00BA4A8C" w:rsidP="006641B6">
      <w:pPr>
        <w:pStyle w:val="ListParagraph"/>
        <w:numPr>
          <w:ilvl w:val="0"/>
          <w:numId w:val="56"/>
        </w:numPr>
        <w:rPr>
          <w:rFonts w:ascii="Calibri" w:hAnsi="Calibri"/>
        </w:rPr>
      </w:pPr>
      <w:r w:rsidRPr="007F510B">
        <w:rPr>
          <w:rFonts w:ascii="Calibri" w:hAnsi="Calibri"/>
        </w:rPr>
        <w:t>Provide low-income and minority students greater access to effective teachers, principals, and other school leaders.</w:t>
      </w:r>
    </w:p>
    <w:p w14:paraId="0CC8ADA5" w14:textId="03AB249D" w:rsidR="00B73A8F" w:rsidRDefault="00BA4A8C" w:rsidP="00B73A8F">
      <w:pPr>
        <w:pStyle w:val="Heading2"/>
        <w:numPr>
          <w:ilvl w:val="0"/>
          <w:numId w:val="98"/>
        </w:numPr>
      </w:pPr>
      <w:r w:rsidRPr="00B41397">
        <w:t>System of Certification and Licensing</w:t>
      </w:r>
    </w:p>
    <w:p w14:paraId="59C6CB0E" w14:textId="4AF75019" w:rsidR="00BA4A8C" w:rsidRPr="00B41397" w:rsidRDefault="00BA4A8C" w:rsidP="00B73A8F">
      <w:pPr>
        <w:autoSpaceDE w:val="0"/>
        <w:autoSpaceDN w:val="0"/>
        <w:adjustRightInd w:val="0"/>
        <w:ind w:left="360"/>
        <w:rPr>
          <w:rFonts w:ascii="Calibri" w:hAnsi="Calibri" w:cs="Times New Roman"/>
          <w:color w:val="000000"/>
        </w:rPr>
      </w:pPr>
      <w:r w:rsidRPr="00B41397">
        <w:rPr>
          <w:rFonts w:ascii="Calibri" w:hAnsi="Calibri" w:cs="Times New Roman"/>
          <w:i/>
          <w:iCs/>
          <w:color w:val="000000"/>
        </w:rPr>
        <w:t>(ESEA section 2101(d</w:t>
      </w:r>
      <w:proofErr w:type="gramStart"/>
      <w:r w:rsidRPr="00B41397">
        <w:rPr>
          <w:rFonts w:ascii="Calibri" w:hAnsi="Calibri" w:cs="Times New Roman"/>
          <w:i/>
          <w:iCs/>
          <w:color w:val="000000"/>
        </w:rPr>
        <w:t>)(</w:t>
      </w:r>
      <w:proofErr w:type="gramEnd"/>
      <w:r w:rsidRPr="00B41397">
        <w:rPr>
          <w:rFonts w:ascii="Calibri" w:hAnsi="Calibri" w:cs="Times New Roman"/>
          <w:i/>
          <w:iCs/>
          <w:color w:val="000000"/>
        </w:rPr>
        <w:t>2)(B))</w:t>
      </w:r>
      <w:r w:rsidRPr="00B41397">
        <w:rPr>
          <w:rFonts w:ascii="Calibri" w:hAnsi="Calibri" w:cs="Times New Roman"/>
          <w:color w:val="000000"/>
        </w:rPr>
        <w:t xml:space="preserve">: Describe the State’s system of certification and licensing of teachers, principals, or other school leaders. </w:t>
      </w:r>
    </w:p>
    <w:p w14:paraId="5D98819B" w14:textId="77777777" w:rsidR="00BA4A8C" w:rsidRDefault="00BA4A8C" w:rsidP="00424E73">
      <w:pPr>
        <w:ind w:left="360"/>
        <w:rPr>
          <w:rFonts w:ascii="Calibri" w:hAnsi="Calibri" w:cs="Times New Roman"/>
          <w:color w:val="000000"/>
        </w:rPr>
      </w:pPr>
      <w:r>
        <w:rPr>
          <w:rFonts w:ascii="Calibri" w:hAnsi="Calibri" w:cs="Times New Roman"/>
          <w:color w:val="000000"/>
        </w:rPr>
        <w:t>DEED</w:t>
      </w:r>
      <w:r w:rsidRPr="00B41397">
        <w:rPr>
          <w:rFonts w:ascii="Calibri" w:hAnsi="Calibri" w:cs="Times New Roman"/>
          <w:color w:val="000000"/>
        </w:rPr>
        <w:t xml:space="preserve"> has the statutory authority to certify teachers, principals, superintendents, special service providers</w:t>
      </w:r>
      <w:r>
        <w:rPr>
          <w:rFonts w:ascii="Calibri" w:hAnsi="Calibri" w:cs="Times New Roman"/>
          <w:color w:val="000000"/>
        </w:rPr>
        <w:t>,</w:t>
      </w:r>
      <w:r w:rsidRPr="00B41397">
        <w:rPr>
          <w:rFonts w:ascii="Calibri" w:hAnsi="Calibri" w:cs="Times New Roman"/>
          <w:color w:val="000000"/>
        </w:rPr>
        <w:t xml:space="preserve"> and other school leaders. Alaska certification statutes and regulations ensure that students are served by quality educators who must meet high standards. </w:t>
      </w:r>
    </w:p>
    <w:p w14:paraId="253FAF0E" w14:textId="77777777" w:rsidR="00BA4A8C" w:rsidRDefault="00BA4A8C" w:rsidP="008B4283">
      <w:pPr>
        <w:ind w:left="360"/>
        <w:rPr>
          <w:rFonts w:ascii="Calibri" w:eastAsia="Calibri" w:hAnsi="Calibri" w:cs="Calibri"/>
        </w:rPr>
      </w:pPr>
      <w:r>
        <w:rPr>
          <w:rFonts w:ascii="Calibri" w:eastAsia="Calibri" w:hAnsi="Calibri" w:cs="Calibri"/>
        </w:rPr>
        <w:t xml:space="preserve">A </w:t>
      </w:r>
      <w:r w:rsidRPr="008B4283">
        <w:rPr>
          <w:rFonts w:ascii="Calibri" w:hAnsi="Calibri" w:cs="Times New Roman"/>
          <w:color w:val="000000"/>
        </w:rPr>
        <w:t>teaching</w:t>
      </w:r>
      <w:r>
        <w:rPr>
          <w:rFonts w:ascii="Calibri" w:eastAsia="Calibri" w:hAnsi="Calibri" w:cs="Calibri"/>
          <w:spacing w:val="-1"/>
        </w:rPr>
        <w:t xml:space="preserve"> certificate</w:t>
      </w:r>
      <w:r>
        <w:rPr>
          <w:rFonts w:ascii="Calibri" w:eastAsia="Calibri" w:hAnsi="Calibri" w:cs="Calibri"/>
        </w:rPr>
        <w:t xml:space="preserve"> </w:t>
      </w:r>
      <w:r>
        <w:rPr>
          <w:rFonts w:ascii="Calibri" w:eastAsia="Calibri" w:hAnsi="Calibri" w:cs="Calibri"/>
          <w:spacing w:val="-1"/>
        </w:rPr>
        <w:t>can</w:t>
      </w:r>
      <w:r>
        <w:rPr>
          <w:rFonts w:ascii="Calibri" w:eastAsia="Calibri" w:hAnsi="Calibri" w:cs="Calibri"/>
          <w:spacing w:val="64"/>
        </w:rPr>
        <w:t xml:space="preserve"> </w:t>
      </w:r>
      <w:r>
        <w:rPr>
          <w:rFonts w:ascii="Calibri" w:eastAsia="Calibri" w:hAnsi="Calibri" w:cs="Calibri"/>
          <w:spacing w:val="-1"/>
        </w:rPr>
        <w:t>be</w:t>
      </w:r>
      <w:r>
        <w:rPr>
          <w:rFonts w:ascii="Calibri" w:eastAsia="Calibri" w:hAnsi="Calibri" w:cs="Calibri"/>
          <w:spacing w:val="1"/>
        </w:rPr>
        <w:t xml:space="preserve"> </w:t>
      </w:r>
      <w:r>
        <w:rPr>
          <w:rFonts w:ascii="Calibri" w:eastAsia="Calibri" w:hAnsi="Calibri" w:cs="Calibri"/>
          <w:spacing w:val="-1"/>
        </w:rPr>
        <w:t>earned with</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bachelor’s</w:t>
      </w:r>
      <w:r>
        <w:rPr>
          <w:rFonts w:ascii="Calibri" w:eastAsia="Calibri" w:hAnsi="Calibri" w:cs="Calibri"/>
          <w:spacing w:val="-2"/>
        </w:rPr>
        <w:t xml:space="preserve"> </w:t>
      </w:r>
      <w:r>
        <w:rPr>
          <w:rFonts w:ascii="Calibri" w:eastAsia="Calibri" w:hAnsi="Calibri" w:cs="Calibri"/>
          <w:spacing w:val="-1"/>
        </w:rPr>
        <w:t>degree,</w:t>
      </w:r>
      <w:r>
        <w:rPr>
          <w:rFonts w:ascii="Calibri" w:eastAsia="Calibri" w:hAnsi="Calibri" w:cs="Calibri"/>
        </w:rPr>
        <w:t xml:space="preserve"> </w:t>
      </w:r>
      <w:r>
        <w:rPr>
          <w:rFonts w:ascii="Calibri" w:eastAsia="Calibri" w:hAnsi="Calibri" w:cs="Calibri"/>
          <w:spacing w:val="-1"/>
        </w:rPr>
        <w:t>fingerprint</w:t>
      </w:r>
      <w:r>
        <w:rPr>
          <w:rFonts w:ascii="Calibri" w:eastAsia="Calibri" w:hAnsi="Calibri" w:cs="Calibri"/>
          <w:spacing w:val="1"/>
        </w:rPr>
        <w:t xml:space="preserve"> </w:t>
      </w:r>
      <w:r>
        <w:rPr>
          <w:rFonts w:ascii="Calibri" w:eastAsia="Calibri" w:hAnsi="Calibri" w:cs="Calibri"/>
          <w:spacing w:val="-1"/>
        </w:rPr>
        <w:t>clearance,</w:t>
      </w:r>
      <w:r>
        <w:rPr>
          <w:rFonts w:ascii="Calibri" w:eastAsia="Calibri" w:hAnsi="Calibri" w:cs="Calibri"/>
          <w:spacing w:val="-2"/>
        </w:rPr>
        <w:t xml:space="preserve"> </w:t>
      </w:r>
      <w:r>
        <w:rPr>
          <w:rFonts w:ascii="Calibri" w:eastAsia="Calibri" w:hAnsi="Calibri" w:cs="Calibri"/>
        </w:rPr>
        <w:t xml:space="preserve">completion of four mandatory trainings, </w:t>
      </w:r>
      <w:r>
        <w:rPr>
          <w:rFonts w:ascii="Calibri" w:eastAsia="Calibri" w:hAnsi="Calibri" w:cs="Calibri"/>
          <w:spacing w:val="-1"/>
        </w:rPr>
        <w:t>completion</w:t>
      </w:r>
      <w:r>
        <w:rPr>
          <w:rFonts w:ascii="Calibri" w:eastAsia="Calibri" w:hAnsi="Calibri" w:cs="Calibri"/>
          <w:spacing w:val="42"/>
        </w:rPr>
        <w:t xml:space="preserve"> </w:t>
      </w:r>
      <w:r>
        <w:rPr>
          <w:rFonts w:ascii="Calibri" w:eastAsia="Calibri" w:hAnsi="Calibri" w:cs="Calibri"/>
        </w:rPr>
        <w:t xml:space="preserve">of </w:t>
      </w:r>
      <w:r>
        <w:rPr>
          <w:rFonts w:ascii="Calibri" w:eastAsia="Calibri" w:hAnsi="Calibri" w:cs="Calibri"/>
          <w:spacing w:val="-1"/>
        </w:rPr>
        <w:t>an approved</w:t>
      </w:r>
      <w:r>
        <w:rPr>
          <w:rFonts w:ascii="Calibri" w:eastAsia="Calibri" w:hAnsi="Calibri" w:cs="Calibri"/>
          <w:spacing w:val="-3"/>
        </w:rPr>
        <w:t xml:space="preserve"> </w:t>
      </w:r>
      <w:r>
        <w:rPr>
          <w:rFonts w:ascii="Calibri" w:eastAsia="Calibri" w:hAnsi="Calibri" w:cs="Calibri"/>
          <w:spacing w:val="-1"/>
        </w:rPr>
        <w:t>educator</w:t>
      </w:r>
      <w:r>
        <w:rPr>
          <w:rFonts w:ascii="Calibri" w:eastAsia="Calibri" w:hAnsi="Calibri" w:cs="Calibri"/>
        </w:rPr>
        <w:t xml:space="preserve"> </w:t>
      </w:r>
      <w:r>
        <w:rPr>
          <w:rFonts w:ascii="Calibri" w:eastAsia="Calibri" w:hAnsi="Calibri" w:cs="Calibri"/>
          <w:spacing w:val="-1"/>
        </w:rPr>
        <w:t>preparation program,</w:t>
      </w:r>
      <w:r>
        <w:rPr>
          <w:rFonts w:ascii="Calibri" w:eastAsia="Calibri" w:hAnsi="Calibri" w:cs="Calibri"/>
        </w:rPr>
        <w:t xml:space="preserve"> </w:t>
      </w:r>
      <w:r>
        <w:rPr>
          <w:rFonts w:ascii="Calibri" w:eastAsia="Calibri" w:hAnsi="Calibri" w:cs="Calibri"/>
          <w:spacing w:val="-1"/>
        </w:rPr>
        <w:t>passage</w:t>
      </w:r>
      <w:r>
        <w:rPr>
          <w:rFonts w:ascii="Calibri" w:eastAsia="Calibri" w:hAnsi="Calibri" w:cs="Calibri"/>
          <w:spacing w:val="-2"/>
        </w:rPr>
        <w:t xml:space="preserve"> </w:t>
      </w:r>
      <w:r>
        <w:rPr>
          <w:rFonts w:ascii="Calibri" w:eastAsia="Calibri" w:hAnsi="Calibri" w:cs="Calibri"/>
        </w:rPr>
        <w:t>of a basic competency examination</w:t>
      </w:r>
      <w:r>
        <w:rPr>
          <w:rFonts w:ascii="Calibri" w:eastAsia="Calibri" w:hAnsi="Calibri" w:cs="Calibri"/>
          <w:spacing w:val="-2"/>
        </w:rPr>
        <w:t xml:space="preserve"> and </w:t>
      </w:r>
      <w:r>
        <w:rPr>
          <w:rFonts w:ascii="Calibri" w:eastAsia="Calibri" w:hAnsi="Calibri" w:cs="Calibri"/>
          <w:spacing w:val="-1"/>
        </w:rPr>
        <w:t>content</w:t>
      </w:r>
      <w:r>
        <w:rPr>
          <w:rFonts w:ascii="Calibri" w:eastAsia="Calibri" w:hAnsi="Calibri" w:cs="Calibri"/>
        </w:rPr>
        <w:t xml:space="preserve"> </w:t>
      </w:r>
      <w:r>
        <w:rPr>
          <w:rFonts w:ascii="Calibri" w:eastAsia="Calibri" w:hAnsi="Calibri" w:cs="Calibri"/>
          <w:spacing w:val="-1"/>
        </w:rPr>
        <w:t>knowledge</w:t>
      </w:r>
      <w:r>
        <w:rPr>
          <w:rFonts w:ascii="Calibri" w:eastAsia="Calibri" w:hAnsi="Calibri" w:cs="Calibri"/>
          <w:spacing w:val="58"/>
        </w:rPr>
        <w:t xml:space="preserve"> </w:t>
      </w:r>
      <w:r>
        <w:rPr>
          <w:rFonts w:ascii="Calibri" w:eastAsia="Calibri" w:hAnsi="Calibri" w:cs="Calibri"/>
          <w:spacing w:val="-1"/>
        </w:rPr>
        <w:t>exams.</w:t>
      </w:r>
      <w:r>
        <w:rPr>
          <w:rFonts w:ascii="Calibri" w:eastAsia="Calibri" w:hAnsi="Calibri" w:cs="Calibri"/>
        </w:rPr>
        <w:t xml:space="preserve"> </w:t>
      </w:r>
      <w:r w:rsidRPr="0046784E">
        <w:rPr>
          <w:rFonts w:ascii="Calibri" w:eastAsia="Calibri" w:hAnsi="Calibri" w:cs="Calibri"/>
          <w:spacing w:val="-1"/>
        </w:rPr>
        <w:t>A</w:t>
      </w:r>
      <w:r>
        <w:rPr>
          <w:rFonts w:ascii="Calibri" w:eastAsia="Calibri" w:hAnsi="Calibri" w:cs="Calibri"/>
          <w:spacing w:val="-1"/>
        </w:rPr>
        <w:t xml:space="preserve">n </w:t>
      </w:r>
      <w:r w:rsidRPr="0046784E">
        <w:rPr>
          <w:rFonts w:ascii="Calibri" w:eastAsia="Calibri" w:hAnsi="Calibri" w:cs="Calibri"/>
          <w:spacing w:val="-1"/>
        </w:rPr>
        <w:t>administrative</w:t>
      </w:r>
      <w:r>
        <w:rPr>
          <w:rFonts w:ascii="Calibri" w:eastAsia="Calibri" w:hAnsi="Calibri" w:cs="Calibri"/>
          <w:spacing w:val="-1"/>
        </w:rPr>
        <w:t xml:space="preserve"> </w:t>
      </w:r>
      <w:r w:rsidRPr="0046784E">
        <w:rPr>
          <w:rFonts w:ascii="Calibri" w:eastAsia="Calibri" w:hAnsi="Calibri" w:cs="Calibri"/>
          <w:spacing w:val="-1"/>
        </w:rPr>
        <w:t xml:space="preserve">certificate </w:t>
      </w:r>
      <w:r>
        <w:rPr>
          <w:rFonts w:ascii="Calibri" w:eastAsia="Calibri" w:hAnsi="Calibri" w:cs="Calibri"/>
          <w:spacing w:val="-1"/>
        </w:rPr>
        <w:t>with a principal endorsement requires</w:t>
      </w:r>
      <w:r w:rsidRPr="0046784E">
        <w:rPr>
          <w:rFonts w:ascii="Calibri" w:eastAsia="Calibri" w:hAnsi="Calibri" w:cs="Calibri"/>
          <w:spacing w:val="-1"/>
        </w:rPr>
        <w:t xml:space="preserve"> a master’s degree, three years of teaching experience, fingerprint clearance, </w:t>
      </w:r>
      <w:r>
        <w:rPr>
          <w:rFonts w:ascii="Calibri" w:eastAsia="Calibri" w:hAnsi="Calibri" w:cs="Calibri"/>
          <w:spacing w:val="-1"/>
        </w:rPr>
        <w:t xml:space="preserve">completion of four mandatory trainings, </w:t>
      </w:r>
      <w:r w:rsidRPr="0046784E">
        <w:rPr>
          <w:rFonts w:ascii="Calibri" w:eastAsia="Calibri" w:hAnsi="Calibri" w:cs="Calibri"/>
          <w:spacing w:val="-1"/>
        </w:rPr>
        <w:t>and completion of an approved administrative preparation program. Alaska is a member of NASDTEC and accepts teacher</w:t>
      </w:r>
      <w:r>
        <w:rPr>
          <w:rFonts w:ascii="Calibri" w:eastAsia="Calibri" w:hAnsi="Calibri" w:cs="Calibri"/>
          <w:spacing w:val="-1"/>
        </w:rPr>
        <w:t xml:space="preserve"> and</w:t>
      </w:r>
      <w:r w:rsidRPr="0046784E">
        <w:rPr>
          <w:rFonts w:ascii="Calibri" w:eastAsia="Calibri" w:hAnsi="Calibri" w:cs="Calibri"/>
          <w:spacing w:val="-1"/>
        </w:rPr>
        <w:t xml:space="preserve"> administrator preparation programs approved by other jurisdictions</w:t>
      </w:r>
    </w:p>
    <w:p w14:paraId="7AA11392" w14:textId="77777777" w:rsidR="00BA4A8C" w:rsidRDefault="00BA4A8C" w:rsidP="008B4283">
      <w:pPr>
        <w:ind w:left="360"/>
        <w:rPr>
          <w:rFonts w:ascii="Calibri" w:eastAsia="Calibri" w:hAnsi="Calibri" w:cs="Calibri"/>
        </w:rPr>
      </w:pP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increase</w:t>
      </w:r>
      <w:r>
        <w:rPr>
          <w:rFonts w:ascii="Calibri" w:eastAsia="Calibri" w:hAnsi="Calibri" w:cs="Calibri"/>
          <w:spacing w:val="51"/>
        </w:rPr>
        <w:t xml:space="preserve"> </w:t>
      </w:r>
      <w:r>
        <w:rPr>
          <w:rFonts w:ascii="Calibri" w:eastAsia="Calibri" w:hAnsi="Calibri" w:cs="Calibri"/>
          <w:spacing w:val="-1"/>
        </w:rPr>
        <w:t>their</w:t>
      </w:r>
      <w:r>
        <w:rPr>
          <w:rFonts w:ascii="Calibri" w:eastAsia="Calibri" w:hAnsi="Calibri" w:cs="Calibri"/>
        </w:rPr>
        <w:t xml:space="preserve"> </w:t>
      </w:r>
      <w:r>
        <w:rPr>
          <w:rFonts w:ascii="Calibri" w:eastAsia="Calibri" w:hAnsi="Calibri" w:cs="Calibri"/>
          <w:spacing w:val="-1"/>
        </w:rPr>
        <w:t>understanding of</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rPr>
        <w:t xml:space="preserve"> </w:t>
      </w:r>
      <w:r>
        <w:rPr>
          <w:rFonts w:ascii="Calibri" w:eastAsia="Calibri" w:hAnsi="Calibri" w:cs="Calibri"/>
          <w:spacing w:val="-1"/>
        </w:rPr>
        <w:t>unique</w:t>
      </w:r>
      <w:r>
        <w:rPr>
          <w:rFonts w:ascii="Calibri" w:eastAsia="Calibri" w:hAnsi="Calibri" w:cs="Calibri"/>
          <w:spacing w:val="1"/>
        </w:rPr>
        <w:t xml:space="preserve"> </w:t>
      </w:r>
      <w:r>
        <w:rPr>
          <w:rFonts w:ascii="Calibri" w:eastAsia="Calibri" w:hAnsi="Calibri" w:cs="Calibri"/>
          <w:spacing w:val="-1"/>
        </w:rPr>
        <w:t>cultures</w:t>
      </w:r>
      <w:r>
        <w:rPr>
          <w:rFonts w:ascii="Calibri" w:eastAsia="Calibri" w:hAnsi="Calibri" w:cs="Calibri"/>
        </w:rPr>
        <w:t xml:space="preserve"> </w:t>
      </w:r>
      <w:r>
        <w:rPr>
          <w:rFonts w:ascii="Calibri" w:eastAsia="Calibri" w:hAnsi="Calibri" w:cs="Calibri"/>
          <w:spacing w:val="-1"/>
        </w:rPr>
        <w:t>and history,</w:t>
      </w:r>
      <w:r>
        <w:rPr>
          <w:rFonts w:ascii="Calibri" w:eastAsia="Calibri" w:hAnsi="Calibri" w:cs="Calibri"/>
        </w:rPr>
        <w:t xml:space="preserve"> </w:t>
      </w:r>
      <w:r>
        <w:rPr>
          <w:rFonts w:ascii="Calibri" w:eastAsia="Calibri" w:hAnsi="Calibri" w:cs="Calibri"/>
          <w:spacing w:val="-1"/>
        </w:rPr>
        <w:t>all</w:t>
      </w:r>
      <w:r>
        <w:rPr>
          <w:rFonts w:ascii="Calibri" w:eastAsia="Calibri" w:hAnsi="Calibri" w:cs="Calibri"/>
          <w:spacing w:val="-3"/>
        </w:rPr>
        <w:t xml:space="preserve"> </w:t>
      </w:r>
      <w:r>
        <w:rPr>
          <w:rFonts w:ascii="Calibri" w:eastAsia="Calibri" w:hAnsi="Calibri" w:cs="Calibri"/>
          <w:spacing w:val="-1"/>
        </w:rPr>
        <w:t>teachers,</w:t>
      </w:r>
      <w:r>
        <w:rPr>
          <w:rFonts w:ascii="Calibri" w:eastAsia="Calibri" w:hAnsi="Calibri" w:cs="Calibri"/>
        </w:rPr>
        <w:t xml:space="preserve"> </w:t>
      </w:r>
      <w:r>
        <w:rPr>
          <w:rFonts w:ascii="Calibri" w:eastAsia="Calibri" w:hAnsi="Calibri" w:cs="Calibri"/>
          <w:spacing w:val="-1"/>
        </w:rPr>
        <w:t>administrators,</w:t>
      </w:r>
      <w:r>
        <w:rPr>
          <w:rFonts w:ascii="Calibri" w:eastAsia="Calibri" w:hAnsi="Calibri" w:cs="Calibri"/>
          <w:spacing w:val="-2"/>
        </w:rPr>
        <w:t xml:space="preserve"> </w:t>
      </w:r>
      <w:r>
        <w:rPr>
          <w:rFonts w:ascii="Calibri" w:eastAsia="Calibri" w:hAnsi="Calibri" w:cs="Calibri"/>
          <w:spacing w:val="-1"/>
        </w:rPr>
        <w:t>and special</w:t>
      </w:r>
      <w:r>
        <w:rPr>
          <w:rFonts w:ascii="Calibri" w:eastAsia="Calibri" w:hAnsi="Calibri" w:cs="Calibri"/>
          <w:spacing w:val="-2"/>
        </w:rPr>
        <w:t xml:space="preserve"> </w:t>
      </w:r>
      <w:r>
        <w:rPr>
          <w:rFonts w:ascii="Calibri" w:eastAsia="Calibri" w:hAnsi="Calibri" w:cs="Calibri"/>
          <w:spacing w:val="-1"/>
        </w:rPr>
        <w:t>service</w:t>
      </w:r>
      <w:r>
        <w:rPr>
          <w:rFonts w:ascii="Calibri" w:eastAsia="Calibri" w:hAnsi="Calibri" w:cs="Calibri"/>
          <w:spacing w:val="1"/>
        </w:rPr>
        <w:t xml:space="preserve"> </w:t>
      </w:r>
      <w:r>
        <w:rPr>
          <w:rFonts w:ascii="Calibri" w:eastAsia="Calibri" w:hAnsi="Calibri" w:cs="Calibri"/>
          <w:spacing w:val="-1"/>
        </w:rPr>
        <w:t>providers</w:t>
      </w:r>
      <w:r>
        <w:rPr>
          <w:rFonts w:ascii="Calibri" w:eastAsia="Calibri" w:hAnsi="Calibri" w:cs="Calibri"/>
          <w:spacing w:val="58"/>
        </w:rPr>
        <w:t xml:space="preserve"> </w:t>
      </w:r>
      <w:r>
        <w:rPr>
          <w:rFonts w:ascii="Calibri" w:eastAsia="Calibri" w:hAnsi="Calibri" w:cs="Calibri"/>
        </w:rPr>
        <w:t>must</w:t>
      </w:r>
      <w:r>
        <w:rPr>
          <w:rFonts w:ascii="Calibri" w:eastAsia="Calibri" w:hAnsi="Calibri" w:cs="Calibri"/>
          <w:spacing w:val="-2"/>
        </w:rPr>
        <w:t xml:space="preserve"> </w:t>
      </w:r>
      <w:r>
        <w:rPr>
          <w:rFonts w:ascii="Calibri" w:eastAsia="Calibri" w:hAnsi="Calibri" w:cs="Calibri"/>
          <w:spacing w:val="-1"/>
        </w:rPr>
        <w:t>complete</w:t>
      </w:r>
      <w:r>
        <w:rPr>
          <w:rFonts w:ascii="Calibri" w:eastAsia="Calibri" w:hAnsi="Calibri" w:cs="Calibri"/>
          <w:spacing w:val="1"/>
        </w:rPr>
        <w:t xml:space="preserve"> </w:t>
      </w:r>
      <w:r>
        <w:rPr>
          <w:rFonts w:ascii="Calibri" w:eastAsia="Calibri" w:hAnsi="Calibri" w:cs="Calibri"/>
          <w:spacing w:val="-1"/>
        </w:rPr>
        <w:t>six</w:t>
      </w:r>
      <w:r>
        <w:rPr>
          <w:rFonts w:ascii="Calibri" w:eastAsia="Calibri" w:hAnsi="Calibri" w:cs="Calibri"/>
          <w:spacing w:val="1"/>
        </w:rPr>
        <w:t xml:space="preserve"> </w:t>
      </w:r>
      <w:r>
        <w:rPr>
          <w:rFonts w:ascii="Calibri" w:eastAsia="Calibri" w:hAnsi="Calibri" w:cs="Calibri"/>
          <w:spacing w:val="-1"/>
        </w:rPr>
        <w:t>semester</w:t>
      </w:r>
      <w:r>
        <w:rPr>
          <w:rFonts w:ascii="Calibri" w:eastAsia="Calibri" w:hAnsi="Calibri" w:cs="Calibri"/>
        </w:rPr>
        <w:t xml:space="preserve"> </w:t>
      </w:r>
      <w:r>
        <w:rPr>
          <w:rFonts w:ascii="Calibri" w:eastAsia="Calibri" w:hAnsi="Calibri" w:cs="Calibri"/>
          <w:spacing w:val="-1"/>
        </w:rPr>
        <w:t>hours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coursework</w:t>
      </w:r>
      <w:r>
        <w:rPr>
          <w:rFonts w:ascii="Calibri" w:eastAsia="Calibri" w:hAnsi="Calibri" w:cs="Calibri"/>
          <w:spacing w:val="1"/>
        </w:rPr>
        <w:t xml:space="preserve"> </w:t>
      </w:r>
      <w:r>
        <w:rPr>
          <w:rFonts w:ascii="Calibri" w:eastAsia="Calibri" w:hAnsi="Calibri" w:cs="Calibri"/>
          <w:spacing w:val="-1"/>
        </w:rPr>
        <w:t>in Alaska</w:t>
      </w:r>
      <w:r>
        <w:rPr>
          <w:rFonts w:ascii="Calibri" w:eastAsia="Calibri" w:hAnsi="Calibri" w:cs="Calibri"/>
        </w:rPr>
        <w:t xml:space="preserve"> </w:t>
      </w:r>
      <w:r>
        <w:rPr>
          <w:rFonts w:ascii="Calibri" w:eastAsia="Calibri" w:hAnsi="Calibri" w:cs="Calibri"/>
          <w:spacing w:val="-1"/>
        </w:rPr>
        <w:t>Studies</w:t>
      </w:r>
      <w:r>
        <w:rPr>
          <w:rFonts w:ascii="Calibri" w:eastAsia="Calibri" w:hAnsi="Calibri" w:cs="Calibri"/>
          <w:spacing w:val="-2"/>
        </w:rPr>
        <w:t xml:space="preserve"> </w:t>
      </w:r>
      <w:r>
        <w:rPr>
          <w:rFonts w:ascii="Calibri" w:eastAsia="Calibri" w:hAnsi="Calibri" w:cs="Calibri"/>
          <w:spacing w:val="-1"/>
        </w:rPr>
        <w:t>and Multicultural within two years</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initial</w:t>
      </w:r>
      <w:r>
        <w:rPr>
          <w:rFonts w:ascii="Calibri" w:eastAsia="Calibri" w:hAnsi="Calibri" w:cs="Calibri"/>
        </w:rPr>
        <w:t xml:space="preserve"> </w:t>
      </w:r>
      <w:r>
        <w:rPr>
          <w:rFonts w:ascii="Calibri" w:eastAsia="Calibri" w:hAnsi="Calibri" w:cs="Calibri"/>
          <w:spacing w:val="-1"/>
        </w:rPr>
        <w:t>certification.</w:t>
      </w:r>
    </w:p>
    <w:p w14:paraId="027BFD4F" w14:textId="77777777" w:rsidR="00BA4A8C" w:rsidRDefault="00BA4A8C" w:rsidP="00424E73">
      <w:pPr>
        <w:ind w:left="360"/>
        <w:rPr>
          <w:rFonts w:ascii="Calibri" w:hAnsi="Calibri" w:cs="Times New Roman"/>
          <w:color w:val="000000"/>
        </w:rPr>
      </w:pPr>
      <w:r>
        <w:rPr>
          <w:rFonts w:ascii="Calibri" w:eastAsia="Calibri" w:hAnsi="Calibri" w:cs="Calibri"/>
          <w:spacing w:val="-1"/>
        </w:rPr>
        <w:lastRenderedPageBreak/>
        <w:t>Due</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Alaska’s</w:t>
      </w:r>
      <w:r>
        <w:rPr>
          <w:rFonts w:ascii="Calibri" w:eastAsia="Calibri" w:hAnsi="Calibri" w:cs="Calibri"/>
          <w:spacing w:val="-2"/>
        </w:rPr>
        <w:t xml:space="preserve"> </w:t>
      </w:r>
      <w:r>
        <w:rPr>
          <w:rFonts w:ascii="Calibri" w:eastAsia="Calibri" w:hAnsi="Calibri" w:cs="Calibri"/>
          <w:spacing w:val="-1"/>
        </w:rPr>
        <w:t>shortage</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teachers,</w:t>
      </w:r>
      <w:r>
        <w:rPr>
          <w:rFonts w:ascii="Calibri" w:eastAsia="Calibri" w:hAnsi="Calibri" w:cs="Calibri"/>
        </w:rPr>
        <w:t xml:space="preserve"> </w:t>
      </w:r>
      <w:r>
        <w:rPr>
          <w:rFonts w:ascii="Calibri" w:eastAsia="Calibri" w:hAnsi="Calibri" w:cs="Calibri"/>
          <w:spacing w:val="-1"/>
        </w:rPr>
        <w:t>an alternate</w:t>
      </w:r>
      <w:r>
        <w:rPr>
          <w:rFonts w:ascii="Calibri" w:eastAsia="Calibri" w:hAnsi="Calibri" w:cs="Calibri"/>
          <w:spacing w:val="1"/>
        </w:rPr>
        <w:t xml:space="preserve"> </w:t>
      </w:r>
      <w:r>
        <w:rPr>
          <w:rFonts w:ascii="Calibri" w:eastAsia="Calibri" w:hAnsi="Calibri" w:cs="Calibri"/>
          <w:spacing w:val="-1"/>
        </w:rPr>
        <w:t>route</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certification is</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rPr>
        <w:t xml:space="preserve"> </w:t>
      </w:r>
      <w:r>
        <w:rPr>
          <w:rFonts w:ascii="Calibri" w:eastAsia="Calibri" w:hAnsi="Calibri" w:cs="Calibri"/>
          <w:spacing w:val="-1"/>
        </w:rPr>
        <w:t>The alternate route</w:t>
      </w:r>
      <w:r>
        <w:rPr>
          <w:rFonts w:ascii="Calibri" w:eastAsia="Calibri" w:hAnsi="Calibri" w:cs="Calibri"/>
          <w:spacing w:val="1"/>
        </w:rPr>
        <w:t xml:space="preserve"> </w:t>
      </w:r>
      <w:r>
        <w:rPr>
          <w:rFonts w:ascii="Calibri" w:eastAsia="Calibri" w:hAnsi="Calibri" w:cs="Calibri"/>
          <w:spacing w:val="-1"/>
        </w:rPr>
        <w:t>provides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 xml:space="preserve">pathway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spacing w:val="-1"/>
        </w:rPr>
        <w:t>career</w:t>
      </w:r>
      <w:r>
        <w:rPr>
          <w:rFonts w:ascii="Calibri" w:eastAsia="Calibri" w:hAnsi="Calibri" w:cs="Calibri"/>
          <w:spacing w:val="-2"/>
        </w:rPr>
        <w:t xml:space="preserve"> </w:t>
      </w:r>
      <w:r>
        <w:rPr>
          <w:rFonts w:ascii="Calibri" w:eastAsia="Calibri" w:hAnsi="Calibri" w:cs="Calibri"/>
          <w:spacing w:val="-1"/>
        </w:rPr>
        <w:t>changers</w:t>
      </w:r>
      <w:r>
        <w:rPr>
          <w:rFonts w:ascii="Calibri" w:eastAsia="Calibri" w:hAnsi="Calibri" w:cs="Calibri"/>
        </w:rPr>
        <w:t xml:space="preserve"> with at least a bachelor’s degree </w:t>
      </w:r>
      <w:r>
        <w:rPr>
          <w:rFonts w:ascii="Calibri" w:eastAsia="Calibri" w:hAnsi="Calibri" w:cs="Calibri"/>
          <w:spacing w:val="-1"/>
        </w:rPr>
        <w:t>to complete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teacher</w:t>
      </w:r>
      <w:r>
        <w:rPr>
          <w:rFonts w:ascii="Calibri" w:eastAsia="Calibri" w:hAnsi="Calibri" w:cs="Calibri"/>
        </w:rPr>
        <w:t xml:space="preserve"> </w:t>
      </w:r>
      <w:r>
        <w:rPr>
          <w:rFonts w:ascii="Calibri" w:eastAsia="Calibri" w:hAnsi="Calibri" w:cs="Calibri"/>
          <w:spacing w:val="-1"/>
        </w:rPr>
        <w:t xml:space="preserve">preparation </w:t>
      </w:r>
      <w:r>
        <w:rPr>
          <w:rFonts w:ascii="Calibri" w:eastAsia="Calibri" w:hAnsi="Calibri" w:cs="Calibri"/>
          <w:spacing w:val="-2"/>
        </w:rPr>
        <w:t>program</w:t>
      </w:r>
      <w:r>
        <w:rPr>
          <w:rFonts w:ascii="Calibri" w:eastAsia="Calibri" w:hAnsi="Calibri" w:cs="Calibri"/>
          <w:spacing w:val="1"/>
        </w:rPr>
        <w:t xml:space="preserve"> </w:t>
      </w:r>
      <w:r>
        <w:rPr>
          <w:rFonts w:ascii="Calibri" w:eastAsia="Calibri" w:hAnsi="Calibri" w:cs="Calibri"/>
          <w:spacing w:val="-1"/>
        </w:rPr>
        <w:t xml:space="preserve">leading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full</w:t>
      </w:r>
      <w:r>
        <w:rPr>
          <w:rFonts w:ascii="Calibri" w:eastAsia="Calibri" w:hAnsi="Calibri" w:cs="Calibri"/>
        </w:rPr>
        <w:t xml:space="preserve"> </w:t>
      </w:r>
      <w:r>
        <w:rPr>
          <w:rFonts w:ascii="Calibri" w:eastAsia="Calibri" w:hAnsi="Calibri" w:cs="Calibri"/>
          <w:spacing w:val="-1"/>
        </w:rPr>
        <w:t>state certification</w:t>
      </w:r>
      <w:r>
        <w:rPr>
          <w:rFonts w:ascii="Calibri" w:eastAsia="Calibri" w:hAnsi="Calibri" w:cs="Calibri"/>
          <w:spacing w:val="-3"/>
        </w:rPr>
        <w:t xml:space="preserve"> </w:t>
      </w:r>
      <w:r>
        <w:rPr>
          <w:rFonts w:ascii="Calibri" w:eastAsia="Calibri" w:hAnsi="Calibri" w:cs="Calibri"/>
          <w:spacing w:val="-1"/>
        </w:rPr>
        <w:t>while</w:t>
      </w:r>
      <w:r>
        <w:rPr>
          <w:rFonts w:ascii="Calibri" w:eastAsia="Calibri" w:hAnsi="Calibri" w:cs="Calibri"/>
          <w:spacing w:val="1"/>
        </w:rPr>
        <w:t xml:space="preserve"> </w:t>
      </w:r>
      <w:r>
        <w:rPr>
          <w:rFonts w:ascii="Calibri" w:eastAsia="Calibri" w:hAnsi="Calibri" w:cs="Calibri"/>
          <w:spacing w:val="-1"/>
        </w:rPr>
        <w:t>teaching full</w:t>
      </w:r>
      <w:r>
        <w:rPr>
          <w:rFonts w:ascii="Calibri" w:eastAsia="Calibri" w:hAnsi="Calibri" w:cs="Calibri"/>
        </w:rPr>
        <w:t xml:space="preserve"> </w:t>
      </w:r>
      <w:r>
        <w:rPr>
          <w:rFonts w:ascii="Calibri" w:eastAsia="Calibri" w:hAnsi="Calibri" w:cs="Calibri"/>
          <w:spacing w:val="-1"/>
        </w:rPr>
        <w:t>time.</w:t>
      </w:r>
      <w:r>
        <w:rPr>
          <w:rFonts w:ascii="Calibri" w:eastAsia="Calibri" w:hAnsi="Calibri" w:cs="Calibri"/>
        </w:rPr>
        <w:t xml:space="preserve"> </w:t>
      </w:r>
      <w:r>
        <w:rPr>
          <w:rFonts w:ascii="Calibri" w:eastAsia="Calibri" w:hAnsi="Calibri" w:cs="Calibri"/>
          <w:spacing w:val="-1"/>
        </w:rPr>
        <w:t>Alaska</w:t>
      </w:r>
      <w:r>
        <w:rPr>
          <w:rFonts w:ascii="Calibri" w:eastAsia="Calibri" w:hAnsi="Calibri" w:cs="Calibri"/>
          <w:spacing w:val="-3"/>
        </w:rPr>
        <w:t xml:space="preserve"> </w:t>
      </w:r>
      <w:r>
        <w:rPr>
          <w:rFonts w:ascii="Calibri" w:eastAsia="Calibri" w:hAnsi="Calibri" w:cs="Calibri"/>
          <w:spacing w:val="-1"/>
        </w:rPr>
        <w:t>may</w:t>
      </w:r>
      <w:r>
        <w:rPr>
          <w:rFonts w:ascii="Calibri" w:eastAsia="Calibri" w:hAnsi="Calibri" w:cs="Calibri"/>
          <w:spacing w:val="41"/>
        </w:rPr>
        <w:t xml:space="preserve"> </w:t>
      </w:r>
      <w:r>
        <w:rPr>
          <w:rFonts w:ascii="Calibri" w:eastAsia="Calibri" w:hAnsi="Calibri" w:cs="Calibri"/>
          <w:spacing w:val="-1"/>
        </w:rPr>
        <w:t>revisit</w:t>
      </w:r>
      <w:r>
        <w:rPr>
          <w:rFonts w:ascii="Calibri" w:eastAsia="Calibri" w:hAnsi="Calibri" w:cs="Calibri"/>
          <w:spacing w:val="-2"/>
        </w:rPr>
        <w:t xml:space="preserve"> </w:t>
      </w:r>
      <w:r>
        <w:rPr>
          <w:rFonts w:ascii="Calibri" w:eastAsia="Calibri" w:hAnsi="Calibri" w:cs="Calibri"/>
          <w:spacing w:val="-1"/>
        </w:rPr>
        <w:t>establishing additional</w:t>
      </w:r>
      <w:r>
        <w:rPr>
          <w:rFonts w:ascii="Calibri" w:eastAsia="Calibri" w:hAnsi="Calibri" w:cs="Calibri"/>
          <w:spacing w:val="1"/>
        </w:rPr>
        <w:t xml:space="preserve"> </w:t>
      </w:r>
      <w:r>
        <w:rPr>
          <w:rFonts w:ascii="Calibri" w:eastAsia="Calibri" w:hAnsi="Calibri" w:cs="Calibri"/>
          <w:spacing w:val="-1"/>
        </w:rPr>
        <w:t>alternate</w:t>
      </w:r>
      <w:r>
        <w:rPr>
          <w:rFonts w:ascii="Calibri" w:eastAsia="Calibri" w:hAnsi="Calibri" w:cs="Calibri"/>
          <w:spacing w:val="1"/>
        </w:rPr>
        <w:t xml:space="preserve"> </w:t>
      </w:r>
      <w:r>
        <w:rPr>
          <w:rFonts w:ascii="Calibri" w:eastAsia="Calibri" w:hAnsi="Calibri" w:cs="Calibri"/>
          <w:spacing w:val="-1"/>
        </w:rPr>
        <w:t>routes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certification based</w:t>
      </w:r>
      <w:r>
        <w:rPr>
          <w:rFonts w:ascii="Calibri" w:eastAsia="Calibri" w:hAnsi="Calibri" w:cs="Calibri"/>
          <w:spacing w:val="-3"/>
        </w:rPr>
        <w:t xml:space="preserve"> </w:t>
      </w:r>
      <w:r>
        <w:rPr>
          <w:rFonts w:ascii="Calibri" w:eastAsia="Calibri" w:hAnsi="Calibri" w:cs="Calibri"/>
        </w:rPr>
        <w:t xml:space="preserve">on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successful</w:t>
      </w:r>
      <w:r>
        <w:rPr>
          <w:rFonts w:ascii="Calibri" w:eastAsia="Calibri" w:hAnsi="Calibri" w:cs="Calibri"/>
        </w:rPr>
        <w:t xml:space="preserve"> </w:t>
      </w:r>
      <w:r>
        <w:rPr>
          <w:rFonts w:ascii="Calibri" w:eastAsia="Calibri" w:hAnsi="Calibri" w:cs="Calibri"/>
          <w:spacing w:val="-1"/>
        </w:rPr>
        <w:t>experience</w:t>
      </w:r>
      <w:r>
        <w:rPr>
          <w:rFonts w:ascii="Calibri" w:eastAsia="Calibri" w:hAnsi="Calibri" w:cs="Calibri"/>
          <w:spacing w:val="59"/>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former</w:t>
      </w:r>
      <w:r>
        <w:rPr>
          <w:rFonts w:ascii="Calibri" w:eastAsia="Calibri" w:hAnsi="Calibri" w:cs="Calibri"/>
        </w:rPr>
        <w:t xml:space="preserve"> </w:t>
      </w:r>
      <w:r>
        <w:rPr>
          <w:rFonts w:ascii="Calibri" w:eastAsia="Calibri" w:hAnsi="Calibri" w:cs="Calibri"/>
          <w:spacing w:val="-1"/>
        </w:rPr>
        <w:t>Alaska</w:t>
      </w:r>
      <w:r>
        <w:rPr>
          <w:rFonts w:ascii="Calibri" w:eastAsia="Calibri" w:hAnsi="Calibri" w:cs="Calibri"/>
          <w:spacing w:val="-2"/>
        </w:rPr>
        <w:t xml:space="preserve"> </w:t>
      </w:r>
      <w:r>
        <w:rPr>
          <w:rFonts w:ascii="Calibri" w:eastAsia="Calibri" w:hAnsi="Calibri" w:cs="Calibri"/>
          <w:spacing w:val="-1"/>
        </w:rPr>
        <w:t>Transition to Teaching (AKT2)</w:t>
      </w:r>
      <w:r>
        <w:rPr>
          <w:rFonts w:ascii="Calibri" w:eastAsia="Calibri" w:hAnsi="Calibri" w:cs="Calibri"/>
        </w:rPr>
        <w:t xml:space="preserve"> </w:t>
      </w:r>
      <w:r>
        <w:rPr>
          <w:rFonts w:ascii="Calibri" w:eastAsia="Calibri" w:hAnsi="Calibri" w:cs="Calibri"/>
          <w:spacing w:val="-1"/>
        </w:rPr>
        <w:t>program. Additionally,</w:t>
      </w:r>
      <w:r>
        <w:rPr>
          <w:rFonts w:ascii="Calibri" w:eastAsia="Calibri" w:hAnsi="Calibri" w:cs="Calibri"/>
        </w:rPr>
        <w:t xml:space="preserve"> </w:t>
      </w:r>
      <w:r>
        <w:rPr>
          <w:rFonts w:ascii="Calibri" w:eastAsia="Calibri" w:hAnsi="Calibri" w:cs="Calibri"/>
          <w:spacing w:val="-1"/>
        </w:rPr>
        <w:t>Alaska</w:t>
      </w:r>
      <w:r>
        <w:rPr>
          <w:rFonts w:ascii="Calibri" w:eastAsia="Calibri" w:hAnsi="Calibri" w:cs="Calibri"/>
          <w:spacing w:val="61"/>
        </w:rPr>
        <w:t xml:space="preserve"> </w:t>
      </w:r>
      <w:r>
        <w:rPr>
          <w:rFonts w:ascii="Calibri" w:eastAsia="Calibri" w:hAnsi="Calibri" w:cs="Calibri"/>
          <w:spacing w:val="-1"/>
        </w:rPr>
        <w:t>statutes</w:t>
      </w:r>
      <w:r>
        <w:rPr>
          <w:rFonts w:ascii="Calibri" w:eastAsia="Calibri" w:hAnsi="Calibri" w:cs="Calibri"/>
          <w:spacing w:val="-2"/>
        </w:rPr>
        <w:t xml:space="preserve"> </w:t>
      </w:r>
      <w:r>
        <w:rPr>
          <w:rFonts w:ascii="Calibri" w:eastAsia="Calibri" w:hAnsi="Calibri" w:cs="Calibri"/>
          <w:spacing w:val="-1"/>
        </w:rPr>
        <w:t>allow</w:t>
      </w:r>
      <w:r>
        <w:rPr>
          <w:rFonts w:ascii="Calibri" w:eastAsia="Calibri" w:hAnsi="Calibri" w:cs="Calibri"/>
          <w:spacing w:val="1"/>
        </w:rPr>
        <w:t xml:space="preserve"> </w:t>
      </w:r>
      <w:r>
        <w:rPr>
          <w:rFonts w:ascii="Calibri" w:eastAsia="Calibri" w:hAnsi="Calibri" w:cs="Calibri"/>
          <w:spacing w:val="-1"/>
        </w:rPr>
        <w:t>teachers</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spacing w:val="-1"/>
        </w:rPr>
        <w:t xml:space="preserve">fully certified </w:t>
      </w:r>
      <w:r>
        <w:rPr>
          <w:rFonts w:ascii="Calibri" w:eastAsia="Calibri" w:hAnsi="Calibri" w:cs="Calibri"/>
        </w:rPr>
        <w:t>out</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 xml:space="preserve">and in </w:t>
      </w:r>
      <w:r>
        <w:rPr>
          <w:rFonts w:ascii="Calibri" w:eastAsia="Calibri" w:hAnsi="Calibri" w:cs="Calibri"/>
          <w:spacing w:val="-2"/>
        </w:rPr>
        <w:t>good</w:t>
      </w:r>
      <w:r>
        <w:rPr>
          <w:rFonts w:ascii="Calibri" w:eastAsia="Calibri" w:hAnsi="Calibri" w:cs="Calibri"/>
          <w:spacing w:val="-1"/>
        </w:rPr>
        <w:t xml:space="preserve"> standing </w:t>
      </w:r>
      <w:r>
        <w:rPr>
          <w:rFonts w:ascii="Calibri" w:eastAsia="Calibri" w:hAnsi="Calibri" w:cs="Calibri"/>
          <w:spacing w:val="-2"/>
        </w:rPr>
        <w:t>in</w:t>
      </w:r>
      <w:r>
        <w:rPr>
          <w:rFonts w:ascii="Calibri" w:eastAsia="Calibri" w:hAnsi="Calibri" w:cs="Calibri"/>
          <w:spacing w:val="-1"/>
        </w:rPr>
        <w:t xml:space="preserve"> their</w:t>
      </w:r>
      <w:r>
        <w:rPr>
          <w:rFonts w:ascii="Calibri" w:eastAsia="Calibri" w:hAnsi="Calibri" w:cs="Calibri"/>
        </w:rPr>
        <w:t xml:space="preserve">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61"/>
        </w:rPr>
        <w:t xml:space="preserve"> </w:t>
      </w:r>
      <w:r>
        <w:rPr>
          <w:rFonts w:ascii="Calibri" w:eastAsia="Calibri" w:hAnsi="Calibri" w:cs="Calibri"/>
          <w:spacing w:val="-1"/>
        </w:rPr>
        <w:t>qualify</w:t>
      </w:r>
      <w:r>
        <w:rPr>
          <w:rFonts w:ascii="Calibri" w:eastAsia="Calibri" w:hAnsi="Calibri" w:cs="Calibri"/>
          <w:spacing w:val="1"/>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an Initial</w:t>
      </w:r>
      <w:r>
        <w:rPr>
          <w:rFonts w:ascii="Calibri" w:eastAsia="Calibri" w:hAnsi="Calibri" w:cs="Calibri"/>
        </w:rPr>
        <w:t xml:space="preserve"> </w:t>
      </w:r>
      <w:r>
        <w:rPr>
          <w:rFonts w:ascii="Calibri" w:eastAsia="Calibri" w:hAnsi="Calibri" w:cs="Calibri"/>
          <w:spacing w:val="-1"/>
        </w:rPr>
        <w:t>Teaching Certificate</w:t>
      </w:r>
      <w:r>
        <w:rPr>
          <w:rFonts w:ascii="Calibri" w:eastAsia="Calibri" w:hAnsi="Calibri" w:cs="Calibri"/>
          <w:spacing w:val="-2"/>
        </w:rPr>
        <w:t xml:space="preserve"> </w:t>
      </w:r>
      <w:r>
        <w:rPr>
          <w:rFonts w:ascii="Calibri" w:eastAsia="Calibri" w:hAnsi="Calibri" w:cs="Calibri"/>
          <w:spacing w:val="-1"/>
        </w:rPr>
        <w:t xml:space="preserve">valid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up to</w:t>
      </w:r>
      <w:r>
        <w:rPr>
          <w:rFonts w:ascii="Calibri" w:eastAsia="Calibri" w:hAnsi="Calibri" w:cs="Calibri"/>
          <w:spacing w:val="1"/>
        </w:rPr>
        <w:t xml:space="preserve"> </w:t>
      </w:r>
      <w:r>
        <w:rPr>
          <w:rFonts w:ascii="Calibri" w:eastAsia="Calibri" w:hAnsi="Calibri" w:cs="Calibri"/>
          <w:spacing w:val="-1"/>
        </w:rPr>
        <w:t>three</w:t>
      </w:r>
      <w:r>
        <w:rPr>
          <w:rFonts w:ascii="Calibri" w:eastAsia="Calibri" w:hAnsi="Calibri" w:cs="Calibri"/>
          <w:spacing w:val="-2"/>
        </w:rPr>
        <w:t xml:space="preserve"> </w:t>
      </w:r>
      <w:r>
        <w:rPr>
          <w:rFonts w:ascii="Calibri" w:eastAsia="Calibri" w:hAnsi="Calibri" w:cs="Calibri"/>
          <w:spacing w:val="-1"/>
        </w:rPr>
        <w:t>years.</w:t>
      </w:r>
      <w:r>
        <w:rPr>
          <w:rFonts w:ascii="Calibri" w:eastAsia="Calibri" w:hAnsi="Calibri" w:cs="Calibri"/>
          <w:spacing w:val="-3"/>
        </w:rPr>
        <w:t xml:space="preserve"> </w:t>
      </w:r>
      <w:r>
        <w:rPr>
          <w:rFonts w:ascii="Calibri" w:eastAsia="Calibri" w:hAnsi="Calibri" w:cs="Calibri"/>
          <w:spacing w:val="-1"/>
        </w:rPr>
        <w:t>This limited</w:t>
      </w:r>
      <w:r>
        <w:rPr>
          <w:rFonts w:ascii="Calibri" w:eastAsia="Calibri" w:hAnsi="Calibri" w:cs="Calibri"/>
          <w:spacing w:val="1"/>
        </w:rPr>
        <w:t xml:space="preserve"> </w:t>
      </w:r>
      <w:r>
        <w:rPr>
          <w:rFonts w:ascii="Calibri" w:eastAsia="Calibri" w:hAnsi="Calibri" w:cs="Calibri"/>
          <w:spacing w:val="-1"/>
        </w:rPr>
        <w:t>reciprocity</w:t>
      </w:r>
      <w:r>
        <w:rPr>
          <w:rFonts w:ascii="Calibri" w:eastAsia="Calibri" w:hAnsi="Calibri" w:cs="Calibri"/>
          <w:spacing w:val="1"/>
        </w:rPr>
        <w:t xml:space="preserve"> </w:t>
      </w:r>
      <w:r>
        <w:rPr>
          <w:rFonts w:ascii="Calibri" w:eastAsia="Calibri" w:hAnsi="Calibri" w:cs="Calibri"/>
          <w:spacing w:val="-1"/>
        </w:rPr>
        <w:t>rule</w:t>
      </w:r>
      <w:r>
        <w:rPr>
          <w:rFonts w:ascii="Calibri" w:eastAsia="Calibri" w:hAnsi="Calibri" w:cs="Calibri"/>
          <w:spacing w:val="-2"/>
        </w:rPr>
        <w:t xml:space="preserve"> </w:t>
      </w:r>
      <w:r>
        <w:rPr>
          <w:rFonts w:ascii="Calibri" w:eastAsia="Calibri" w:hAnsi="Calibri" w:cs="Calibri"/>
          <w:spacing w:val="-1"/>
        </w:rPr>
        <w:t>help</w:t>
      </w:r>
      <w:r>
        <w:rPr>
          <w:rFonts w:ascii="Calibri" w:eastAsia="Calibri" w:hAnsi="Calibri" w:cs="Calibri"/>
          <w:spacing w:val="49"/>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1"/>
        </w:rPr>
        <w:t>recruit</w:t>
      </w:r>
      <w:r>
        <w:rPr>
          <w:rFonts w:ascii="Calibri" w:eastAsia="Calibri" w:hAnsi="Calibri" w:cs="Calibri"/>
          <w:spacing w:val="1"/>
        </w:rPr>
        <w:t xml:space="preserve"> </w:t>
      </w:r>
      <w:r>
        <w:rPr>
          <w:rFonts w:ascii="Calibri" w:eastAsia="Calibri" w:hAnsi="Calibri" w:cs="Calibri"/>
          <w:spacing w:val="-1"/>
        </w:rPr>
        <w:t>qualified</w:t>
      </w:r>
      <w:r>
        <w:rPr>
          <w:rFonts w:ascii="Calibri" w:eastAsia="Calibri" w:hAnsi="Calibri" w:cs="Calibri"/>
          <w:spacing w:val="-3"/>
        </w:rPr>
        <w:t xml:space="preserve"> </w:t>
      </w:r>
      <w:r>
        <w:rPr>
          <w:rFonts w:ascii="Calibri" w:eastAsia="Calibri" w:hAnsi="Calibri" w:cs="Calibri"/>
          <w:spacing w:val="-1"/>
        </w:rPr>
        <w:t>educators</w:t>
      </w:r>
      <w:r>
        <w:rPr>
          <w:rFonts w:ascii="Calibri" w:eastAsia="Calibri" w:hAnsi="Calibri" w:cs="Calibri"/>
          <w:spacing w:val="-2"/>
        </w:rPr>
        <w:t xml:space="preserve"> </w:t>
      </w:r>
      <w:r>
        <w:rPr>
          <w:rFonts w:ascii="Calibri" w:eastAsia="Calibri" w:hAnsi="Calibri" w:cs="Calibri"/>
          <w:spacing w:val="-1"/>
        </w:rPr>
        <w:t>from other</w:t>
      </w:r>
      <w:r>
        <w:rPr>
          <w:rFonts w:ascii="Calibri" w:eastAsia="Calibri" w:hAnsi="Calibri" w:cs="Calibri"/>
        </w:rPr>
        <w:t xml:space="preserve"> </w:t>
      </w:r>
      <w:r>
        <w:rPr>
          <w:rFonts w:ascii="Calibri" w:eastAsia="Calibri" w:hAnsi="Calibri" w:cs="Calibri"/>
          <w:spacing w:val="-1"/>
        </w:rPr>
        <w:t>states.</w:t>
      </w:r>
    </w:p>
    <w:p w14:paraId="5817F176" w14:textId="77777777" w:rsidR="00BA4A8C" w:rsidRDefault="00BA4A8C" w:rsidP="00424E73">
      <w:pPr>
        <w:autoSpaceDE w:val="0"/>
        <w:autoSpaceDN w:val="0"/>
        <w:adjustRightInd w:val="0"/>
        <w:ind w:left="360"/>
        <w:rPr>
          <w:rFonts w:ascii="Calibri" w:hAnsi="Calibri"/>
        </w:rPr>
      </w:pPr>
      <w:r>
        <w:rPr>
          <w:rFonts w:ascii="Calibri" w:hAnsi="Calibri"/>
        </w:rPr>
        <w:t>As one of the equity strategies, DEED is continuing to reduce barriers in certification. This past year, DEED has migrated more services online, including acceptance of electronic transcripts and online payments. DEED is investigating the transition to a complete online application system.  With approximately 75 percent of teachers being prepared outside of Alaska, special attention has been given to simplifying information for out-of-state applicants.</w:t>
      </w:r>
    </w:p>
    <w:p w14:paraId="60580F39" w14:textId="1AD743E9" w:rsidR="00B73A8F" w:rsidRDefault="00BA4A8C" w:rsidP="00B73A8F">
      <w:pPr>
        <w:pStyle w:val="Heading2"/>
        <w:numPr>
          <w:ilvl w:val="0"/>
          <w:numId w:val="98"/>
        </w:numPr>
      </w:pPr>
      <w:r w:rsidRPr="00B41397">
        <w:t>Improving Skills of Educators</w:t>
      </w:r>
    </w:p>
    <w:p w14:paraId="1915DE89" w14:textId="1341DA15" w:rsidR="00BA4A8C" w:rsidRPr="00B41397" w:rsidRDefault="00BA4A8C" w:rsidP="00B73A8F">
      <w:pPr>
        <w:autoSpaceDE w:val="0"/>
        <w:autoSpaceDN w:val="0"/>
        <w:adjustRightInd w:val="0"/>
        <w:ind w:left="360"/>
        <w:rPr>
          <w:rFonts w:ascii="Calibri" w:hAnsi="Calibri" w:cs="Times New Roman"/>
          <w:color w:val="000000"/>
        </w:rPr>
      </w:pPr>
      <w:proofErr w:type="gramStart"/>
      <w:r w:rsidRPr="00B41397">
        <w:rPr>
          <w:rFonts w:ascii="Calibri" w:hAnsi="Calibri" w:cs="Times New Roman"/>
          <w:i/>
          <w:iCs/>
          <w:color w:val="000000"/>
        </w:rPr>
        <w:t>(ESEA section 2101(d)(2)(J))</w:t>
      </w:r>
      <w:r w:rsidRPr="00B41397">
        <w:rPr>
          <w:rFonts w:ascii="Calibri" w:hAnsi="Calibri" w:cs="Times New Roman"/>
          <w:color w:val="000000"/>
        </w:rPr>
        <w:t>: Describe how the SEA will improve the skills of teachers, principals, or other school leaders in order to enable them to identify students with specific learning needs, particularly children with disabilities, English learners, students who are gifted and talented, and students with low literacy levels, and provide instruction based on the needs of such students.</w:t>
      </w:r>
      <w:proofErr w:type="gramEnd"/>
      <w:r w:rsidRPr="00B41397">
        <w:rPr>
          <w:rFonts w:ascii="Calibri" w:hAnsi="Calibri" w:cs="Times New Roman"/>
          <w:color w:val="000000"/>
        </w:rPr>
        <w:t xml:space="preserve"> </w:t>
      </w:r>
    </w:p>
    <w:p w14:paraId="5F3DF113" w14:textId="77777777" w:rsidR="00BA4A8C" w:rsidRDefault="00BA4A8C" w:rsidP="00424E73">
      <w:pPr>
        <w:autoSpaceDE w:val="0"/>
        <w:autoSpaceDN w:val="0"/>
        <w:adjustRightInd w:val="0"/>
        <w:rPr>
          <w:rFonts w:ascii="Calibri" w:hAnsi="Calibri"/>
        </w:rPr>
      </w:pPr>
      <w:r>
        <w:rPr>
          <w:rFonts w:ascii="Calibri" w:hAnsi="Calibri"/>
        </w:rPr>
        <w:t>DEED</w:t>
      </w:r>
      <w:r w:rsidRPr="00B41397">
        <w:rPr>
          <w:rFonts w:ascii="Calibri" w:hAnsi="Calibri"/>
        </w:rPr>
        <w:t xml:space="preserve"> will work to improve the skills of educators </w:t>
      </w:r>
      <w:r>
        <w:rPr>
          <w:rFonts w:ascii="Calibri" w:hAnsi="Calibri"/>
        </w:rPr>
        <w:t>to meet the needs of students with specific learning needs by</w:t>
      </w:r>
      <w:r w:rsidRPr="00B41397">
        <w:rPr>
          <w:rFonts w:ascii="Calibri" w:hAnsi="Calibri"/>
        </w:rPr>
        <w:t xml:space="preserve"> providing technical assistance, services</w:t>
      </w:r>
      <w:r>
        <w:rPr>
          <w:rFonts w:ascii="Calibri" w:hAnsi="Calibri"/>
        </w:rPr>
        <w:t>,</w:t>
      </w:r>
      <w:r w:rsidRPr="00B41397">
        <w:rPr>
          <w:rFonts w:ascii="Calibri" w:hAnsi="Calibri"/>
        </w:rPr>
        <w:t xml:space="preserve"> and support as aligned to local school and </w:t>
      </w:r>
      <w:r>
        <w:rPr>
          <w:rFonts w:ascii="Calibri" w:hAnsi="Calibri"/>
        </w:rPr>
        <w:t>district</w:t>
      </w:r>
      <w:r w:rsidRPr="00B41397">
        <w:rPr>
          <w:rFonts w:ascii="Calibri" w:hAnsi="Calibri"/>
        </w:rPr>
        <w:t xml:space="preserve"> system needs.</w:t>
      </w:r>
      <w:r>
        <w:rPr>
          <w:rFonts w:ascii="Calibri" w:hAnsi="Calibri"/>
        </w:rPr>
        <w:t xml:space="preserve"> </w:t>
      </w:r>
      <w:r w:rsidRPr="00C27546">
        <w:rPr>
          <w:rFonts w:ascii="Calibri" w:hAnsi="Calibri"/>
        </w:rPr>
        <w:t xml:space="preserve">As part of the Title II, </w:t>
      </w:r>
      <w:r>
        <w:rPr>
          <w:rFonts w:ascii="Calibri" w:hAnsi="Calibri"/>
        </w:rPr>
        <w:t>P</w:t>
      </w:r>
      <w:r w:rsidRPr="00C27546">
        <w:rPr>
          <w:rFonts w:ascii="Calibri" w:hAnsi="Calibri"/>
        </w:rPr>
        <w:t>art A of the ESEA Consolidated Application, districts are specifically asked how they are helping their educators to improve their skills. Districts’ practices that use cultural</w:t>
      </w:r>
      <w:r>
        <w:rPr>
          <w:rFonts w:ascii="Calibri" w:hAnsi="Calibri"/>
        </w:rPr>
        <w:t>ly</w:t>
      </w:r>
      <w:r w:rsidRPr="00C27546">
        <w:rPr>
          <w:rFonts w:ascii="Calibri" w:hAnsi="Calibri"/>
        </w:rPr>
        <w:t xml:space="preserve"> relevant instructional practices and resources, especially in meeting the needs of minority students who are also English learners, will be shared. </w:t>
      </w:r>
      <w:r>
        <w:rPr>
          <w:rFonts w:ascii="Calibri" w:hAnsi="Calibri"/>
        </w:rPr>
        <w:t xml:space="preserve">For example: </w:t>
      </w:r>
      <w:r w:rsidRPr="00C27546">
        <w:rPr>
          <w:rFonts w:ascii="Calibri" w:hAnsi="Calibri"/>
        </w:rPr>
        <w:t>As a successful retention activity, many districts provide culturally enhanced professional development at the beginning of the school year to better prepare new educators to Alaska.</w:t>
      </w:r>
      <w:r>
        <w:rPr>
          <w:rFonts w:ascii="Calibri" w:hAnsi="Calibri"/>
        </w:rPr>
        <w:t xml:space="preserve"> </w:t>
      </w:r>
    </w:p>
    <w:p w14:paraId="159EB049" w14:textId="77777777" w:rsidR="00BA4A8C" w:rsidRDefault="00BA4A8C" w:rsidP="00424E73">
      <w:pPr>
        <w:rPr>
          <w:rStyle w:val="eventname"/>
        </w:rPr>
      </w:pPr>
      <w:r>
        <w:rPr>
          <w:rFonts w:ascii="Calibri" w:hAnsi="Calibri"/>
        </w:rPr>
        <w:t>DEED is able to provide t</w:t>
      </w:r>
      <w:r w:rsidRPr="00B41397">
        <w:rPr>
          <w:rFonts w:ascii="Calibri" w:hAnsi="Calibri"/>
        </w:rPr>
        <w:t>echnical assistance, service</w:t>
      </w:r>
      <w:r>
        <w:rPr>
          <w:rFonts w:ascii="Calibri" w:hAnsi="Calibri"/>
        </w:rPr>
        <w:t>s,</w:t>
      </w:r>
      <w:r w:rsidRPr="00B41397">
        <w:rPr>
          <w:rFonts w:ascii="Calibri" w:hAnsi="Calibri"/>
        </w:rPr>
        <w:t xml:space="preserve"> and support</w:t>
      </w:r>
      <w:r>
        <w:rPr>
          <w:rFonts w:ascii="Calibri" w:hAnsi="Calibri"/>
        </w:rPr>
        <w:t>s</w:t>
      </w:r>
      <w:r w:rsidRPr="00B41397">
        <w:rPr>
          <w:rFonts w:ascii="Calibri" w:hAnsi="Calibri"/>
        </w:rPr>
        <w:t xml:space="preserve"> through a combination of face-to-face (conferences, workshops, meetings) and virtual opportunities (webinars, onli</w:t>
      </w:r>
      <w:r>
        <w:rPr>
          <w:rFonts w:ascii="Calibri" w:hAnsi="Calibri"/>
        </w:rPr>
        <w:t>ne courses, phone conferences). Support at any level</w:t>
      </w:r>
      <w:r w:rsidRPr="00B41397">
        <w:rPr>
          <w:rFonts w:ascii="Calibri" w:hAnsi="Calibri"/>
        </w:rPr>
        <w:t xml:space="preserve"> may also be pro</w:t>
      </w:r>
      <w:r>
        <w:rPr>
          <w:rFonts w:ascii="Calibri" w:hAnsi="Calibri"/>
        </w:rPr>
        <w:t xml:space="preserve">vided in conjunction with other Alaska educational organizations and partners (e.g. the </w:t>
      </w:r>
      <w:r>
        <w:rPr>
          <w:rStyle w:val="eventname"/>
        </w:rPr>
        <w:t>2017 Alaska RTI/MTSS Conference - Elevating Effective Instruction).</w:t>
      </w:r>
    </w:p>
    <w:p w14:paraId="674CA641" w14:textId="77777777" w:rsidR="00BA4A8C" w:rsidRPr="00C27546" w:rsidRDefault="00BA4A8C" w:rsidP="00424E73">
      <w:pPr>
        <w:autoSpaceDE w:val="0"/>
        <w:autoSpaceDN w:val="0"/>
        <w:adjustRightInd w:val="0"/>
        <w:rPr>
          <w:rFonts w:ascii="Calibri" w:hAnsi="Calibri"/>
        </w:rPr>
      </w:pPr>
      <w:r w:rsidRPr="00C27546">
        <w:rPr>
          <w:rFonts w:ascii="Calibri" w:hAnsi="Calibri"/>
        </w:rPr>
        <w:t xml:space="preserve">Here are some available offerings that help </w:t>
      </w:r>
      <w:r>
        <w:rPr>
          <w:rFonts w:ascii="Calibri" w:hAnsi="Calibri"/>
        </w:rPr>
        <w:t>educator</w:t>
      </w:r>
      <w:r w:rsidRPr="00C27546">
        <w:rPr>
          <w:rFonts w:ascii="Calibri" w:hAnsi="Calibri"/>
        </w:rPr>
        <w:t xml:space="preserve">s serve diverse groups of students: </w:t>
      </w:r>
    </w:p>
    <w:p w14:paraId="0292F770" w14:textId="77777777" w:rsidR="00BA4A8C" w:rsidRDefault="00BA4A8C" w:rsidP="00BA1524">
      <w:pPr>
        <w:pStyle w:val="ListParagraph"/>
        <w:numPr>
          <w:ilvl w:val="0"/>
          <w:numId w:val="23"/>
        </w:numPr>
        <w:autoSpaceDE w:val="0"/>
        <w:autoSpaceDN w:val="0"/>
        <w:adjustRightInd w:val="0"/>
        <w:rPr>
          <w:rFonts w:cs="Arial"/>
          <w:lang w:val="en"/>
        </w:rPr>
      </w:pPr>
      <w:r w:rsidRPr="00C27546">
        <w:rPr>
          <w:rFonts w:ascii="Calibri" w:hAnsi="Calibri"/>
        </w:rPr>
        <w:t xml:space="preserve">DEED has multiple courses in its distance-delivered eLearning </w:t>
      </w:r>
      <w:r>
        <w:rPr>
          <w:rFonts w:ascii="Calibri" w:hAnsi="Calibri"/>
        </w:rPr>
        <w:t>p</w:t>
      </w:r>
      <w:r w:rsidRPr="00C27546">
        <w:rPr>
          <w:rFonts w:ascii="Calibri" w:hAnsi="Calibri"/>
        </w:rPr>
        <w:t>rogram to boost educators’ skills in working with students with sp</w:t>
      </w:r>
      <w:r w:rsidRPr="0062352E">
        <w:rPr>
          <w:rFonts w:ascii="Calibri" w:hAnsi="Calibri"/>
        </w:rPr>
        <w:t xml:space="preserve">ecific learning needs. </w:t>
      </w:r>
      <w:r w:rsidRPr="00C27546">
        <w:rPr>
          <w:rFonts w:ascii="Calibri" w:hAnsi="Calibri"/>
        </w:rPr>
        <w:t xml:space="preserve">Example courses include </w:t>
      </w:r>
      <w:r w:rsidRPr="00503ED7">
        <w:rPr>
          <w:rFonts w:cs="Arial"/>
          <w:lang w:val="en"/>
        </w:rPr>
        <w:t>Identifying Learning Theory, Strategies for Accommodating Individual Needs, and Supporting Student Learning Styles.</w:t>
      </w:r>
    </w:p>
    <w:p w14:paraId="5B2B45C6" w14:textId="77777777" w:rsidR="00BA4A8C" w:rsidRPr="00503ED7" w:rsidRDefault="00BA4A8C" w:rsidP="00BA1524">
      <w:pPr>
        <w:pStyle w:val="ListParagraph"/>
        <w:numPr>
          <w:ilvl w:val="0"/>
          <w:numId w:val="23"/>
        </w:numPr>
        <w:autoSpaceDE w:val="0"/>
        <w:autoSpaceDN w:val="0"/>
        <w:adjustRightInd w:val="0"/>
        <w:rPr>
          <w:rFonts w:cs="Arial"/>
          <w:lang w:val="en"/>
        </w:rPr>
      </w:pPr>
      <w:r w:rsidRPr="008660D1">
        <w:rPr>
          <w:rFonts w:cs="Arial"/>
          <w:lang w:val="en"/>
        </w:rPr>
        <w:t>DEED also has two reading foundational webinars</w:t>
      </w:r>
      <w:r>
        <w:rPr>
          <w:rFonts w:cs="Arial"/>
          <w:lang w:val="en"/>
        </w:rPr>
        <w:t xml:space="preserve"> available online</w:t>
      </w:r>
      <w:r w:rsidRPr="008660D1">
        <w:rPr>
          <w:rFonts w:cs="Arial"/>
          <w:lang w:val="en"/>
        </w:rPr>
        <w:t xml:space="preserve"> to help teachers improve their skills in working with students with low literacy levels.  </w:t>
      </w:r>
    </w:p>
    <w:p w14:paraId="26209EB7" w14:textId="77777777" w:rsidR="00BA4A8C" w:rsidRPr="00C27546" w:rsidRDefault="00BA4A8C" w:rsidP="00BA1524">
      <w:pPr>
        <w:pStyle w:val="ListParagraph"/>
        <w:numPr>
          <w:ilvl w:val="0"/>
          <w:numId w:val="23"/>
        </w:numPr>
        <w:autoSpaceDE w:val="0"/>
        <w:autoSpaceDN w:val="0"/>
        <w:adjustRightInd w:val="0"/>
        <w:rPr>
          <w:rFonts w:cs="Arial"/>
          <w:lang w:val="en"/>
        </w:rPr>
      </w:pPr>
      <w:r>
        <w:rPr>
          <w:rFonts w:ascii="Calibri" w:hAnsi="Calibri"/>
        </w:rPr>
        <w:t>P</w:t>
      </w:r>
      <w:r w:rsidRPr="00C27546">
        <w:rPr>
          <w:rFonts w:ascii="Calibri" w:hAnsi="Calibri"/>
        </w:rPr>
        <w:t xml:space="preserve">rofessional development opportunities </w:t>
      </w:r>
      <w:r>
        <w:rPr>
          <w:rFonts w:ascii="Calibri" w:hAnsi="Calibri"/>
        </w:rPr>
        <w:t xml:space="preserve">through WIDA </w:t>
      </w:r>
      <w:r w:rsidRPr="00C27546">
        <w:rPr>
          <w:rFonts w:ascii="Calibri" w:hAnsi="Calibri"/>
        </w:rPr>
        <w:t xml:space="preserve">are available to teachers and districts to provide training on instructional strategies that specifically address the needs of English </w:t>
      </w:r>
      <w:r>
        <w:rPr>
          <w:rFonts w:ascii="Calibri" w:hAnsi="Calibri"/>
        </w:rPr>
        <w:t>l</w:t>
      </w:r>
      <w:r w:rsidRPr="00C27546">
        <w:rPr>
          <w:rFonts w:ascii="Calibri" w:hAnsi="Calibri"/>
        </w:rPr>
        <w:t xml:space="preserve">earners and intentionally support </w:t>
      </w:r>
      <w:r>
        <w:rPr>
          <w:rFonts w:ascii="Calibri" w:hAnsi="Calibri"/>
        </w:rPr>
        <w:t xml:space="preserve">Alaska’s </w:t>
      </w:r>
      <w:r w:rsidRPr="00C27546">
        <w:rPr>
          <w:rFonts w:ascii="Calibri" w:hAnsi="Calibri"/>
        </w:rPr>
        <w:t xml:space="preserve">English Language </w:t>
      </w:r>
      <w:r>
        <w:rPr>
          <w:rFonts w:ascii="Calibri" w:hAnsi="Calibri"/>
        </w:rPr>
        <w:t>Proficiency</w:t>
      </w:r>
      <w:r w:rsidRPr="00C27546">
        <w:rPr>
          <w:rFonts w:ascii="Calibri" w:hAnsi="Calibri"/>
        </w:rPr>
        <w:t xml:space="preserve"> Standards.</w:t>
      </w:r>
    </w:p>
    <w:p w14:paraId="4C759E88" w14:textId="77777777" w:rsidR="00BA4A8C" w:rsidRDefault="00BA4A8C" w:rsidP="00BA1524">
      <w:pPr>
        <w:pStyle w:val="ListParagraph"/>
        <w:numPr>
          <w:ilvl w:val="0"/>
          <w:numId w:val="23"/>
        </w:numPr>
        <w:autoSpaceDE w:val="0"/>
        <w:autoSpaceDN w:val="0"/>
        <w:adjustRightInd w:val="0"/>
        <w:rPr>
          <w:rFonts w:cs="Arial"/>
          <w:lang w:val="en"/>
        </w:rPr>
      </w:pPr>
      <w:r>
        <w:rPr>
          <w:rFonts w:cs="Arial"/>
          <w:lang w:val="en"/>
        </w:rPr>
        <w:lastRenderedPageBreak/>
        <w:t>DEED assists districts in meeting the needs of their gifted and talented students, which are identified in districts’ plans of service for gifted students.</w:t>
      </w:r>
    </w:p>
    <w:p w14:paraId="574FAF41" w14:textId="77777777" w:rsidR="00BA4A8C" w:rsidRPr="00C27546" w:rsidRDefault="00BA4A8C" w:rsidP="00BA1524">
      <w:pPr>
        <w:pStyle w:val="ListParagraph"/>
        <w:numPr>
          <w:ilvl w:val="0"/>
          <w:numId w:val="23"/>
        </w:numPr>
        <w:autoSpaceDE w:val="0"/>
        <w:autoSpaceDN w:val="0"/>
        <w:adjustRightInd w:val="0"/>
        <w:rPr>
          <w:rFonts w:cs="Arial"/>
          <w:lang w:val="en"/>
        </w:rPr>
      </w:pPr>
      <w:r>
        <w:rPr>
          <w:rFonts w:cs="Arial"/>
          <w:lang w:val="en"/>
        </w:rPr>
        <w:t>DEED will support district efforts to include educators of young learners in district professional learning opportunities.</w:t>
      </w:r>
    </w:p>
    <w:p w14:paraId="43D603E5" w14:textId="77777777" w:rsidR="00BA4A8C" w:rsidRDefault="00BA4A8C" w:rsidP="008B4283">
      <w:pPr>
        <w:rPr>
          <w:spacing w:val="-2"/>
        </w:rPr>
      </w:pPr>
      <w:r w:rsidRPr="000E1404">
        <w:rPr>
          <w:rFonts w:cs="Calibri"/>
        </w:rPr>
        <w:t xml:space="preserve">Specifically DEED has a special education section of Student Learning that works closely with district special education directors. Guidance for Special Education Personnel (Handbook) is updated annually to provide guidance for special education directors working in Alaska.  </w:t>
      </w:r>
      <w:r w:rsidRPr="000E1404">
        <w:rPr>
          <w:spacing w:val="-2"/>
        </w:rPr>
        <w:t xml:space="preserve">The special education section provides a special education directors training each year to highlight this guidance for districts. </w:t>
      </w:r>
      <w:r w:rsidRPr="000E1404">
        <w:rPr>
          <w:rFonts w:cs="Calibri"/>
        </w:rPr>
        <w:t xml:space="preserve">The guidance provides information on child find that special education directors provide training to their special education and regular education teachers to </w:t>
      </w:r>
      <w:r w:rsidRPr="000E1404">
        <w:rPr>
          <w:spacing w:val="-1"/>
        </w:rPr>
        <w:t>enable</w:t>
      </w:r>
      <w:r w:rsidRPr="000E1404">
        <w:rPr>
          <w:spacing w:val="-2"/>
        </w:rPr>
        <w:t xml:space="preserve"> </w:t>
      </w:r>
      <w:r w:rsidRPr="000E1404">
        <w:rPr>
          <w:spacing w:val="-1"/>
        </w:rPr>
        <w:t>them</w:t>
      </w:r>
      <w:r w:rsidRPr="000E1404">
        <w:rPr>
          <w:spacing w:val="1"/>
        </w:rPr>
        <w:t xml:space="preserve"> </w:t>
      </w:r>
      <w:r w:rsidRPr="000E1404">
        <w:rPr>
          <w:spacing w:val="-1"/>
        </w:rPr>
        <w:t>to</w:t>
      </w:r>
      <w:r w:rsidRPr="000E1404">
        <w:rPr>
          <w:spacing w:val="1"/>
        </w:rPr>
        <w:t xml:space="preserve"> </w:t>
      </w:r>
      <w:r w:rsidRPr="000E1404">
        <w:rPr>
          <w:spacing w:val="-1"/>
        </w:rPr>
        <w:t>identify</w:t>
      </w:r>
      <w:r w:rsidRPr="000E1404">
        <w:rPr>
          <w:spacing w:val="1"/>
        </w:rPr>
        <w:t xml:space="preserve"> </w:t>
      </w:r>
      <w:r w:rsidRPr="000E1404">
        <w:rPr>
          <w:spacing w:val="-1"/>
        </w:rPr>
        <w:t>students</w:t>
      </w:r>
      <w:r w:rsidRPr="000E1404">
        <w:rPr>
          <w:spacing w:val="63"/>
        </w:rPr>
        <w:t xml:space="preserve"> </w:t>
      </w:r>
      <w:r w:rsidRPr="000E1404">
        <w:rPr>
          <w:spacing w:val="-1"/>
        </w:rPr>
        <w:t>with specific</w:t>
      </w:r>
      <w:r w:rsidRPr="000E1404">
        <w:t xml:space="preserve"> </w:t>
      </w:r>
      <w:r w:rsidRPr="000E1404">
        <w:rPr>
          <w:spacing w:val="-1"/>
        </w:rPr>
        <w:t xml:space="preserve">learning </w:t>
      </w:r>
      <w:r w:rsidRPr="000E1404">
        <w:rPr>
          <w:spacing w:val="-2"/>
        </w:rPr>
        <w:t>needs</w:t>
      </w:r>
      <w:r>
        <w:rPr>
          <w:spacing w:val="-2"/>
        </w:rPr>
        <w:t>.</w:t>
      </w:r>
    </w:p>
    <w:p w14:paraId="79149E21" w14:textId="650EA916" w:rsidR="00BA4A8C" w:rsidRDefault="00BA4A8C" w:rsidP="008B4283">
      <w:pPr>
        <w:rPr>
          <w:rFonts w:cs="Calibri"/>
        </w:rPr>
      </w:pPr>
      <w:r w:rsidRPr="000E1404">
        <w:rPr>
          <w:rFonts w:cs="Calibri"/>
        </w:rPr>
        <w:t>Many schools and districts are implementing Response to Intervention (RTI) programs; the goal of many such programs is to provide early detection of students who struggle and early intervention to improve student learning. Contact and program information about</w:t>
      </w:r>
      <w:r w:rsidR="00455E8D">
        <w:rPr>
          <w:rFonts w:cs="Calibri"/>
        </w:rPr>
        <w:t xml:space="preserve"> RTI in Alaska is available on </w:t>
      </w:r>
      <w:hyperlink r:id="rId70" w:history="1">
        <w:r w:rsidR="00455E8D">
          <w:rPr>
            <w:rStyle w:val="Hyperlink"/>
            <w:rFonts w:cs="Calibri"/>
          </w:rPr>
          <w:t>DEED's RTI webpage</w:t>
        </w:r>
      </w:hyperlink>
      <w:r w:rsidR="00455E8D">
        <w:rPr>
          <w:rFonts w:cs="Calibri"/>
        </w:rPr>
        <w:t xml:space="preserve"> (</w:t>
      </w:r>
      <w:r w:rsidR="00455E8D" w:rsidRPr="00455E8D">
        <w:t>https://education.alaska.gov/esea/rti</w:t>
      </w:r>
      <w:r w:rsidR="00455E8D">
        <w:t>)</w:t>
      </w:r>
      <w:r w:rsidR="00455E8D">
        <w:rPr>
          <w:rFonts w:cs="Calibri"/>
        </w:rPr>
        <w:t>.</w:t>
      </w:r>
    </w:p>
    <w:p w14:paraId="4780545B" w14:textId="77777777" w:rsidR="00BA4A8C" w:rsidRDefault="00BA4A8C" w:rsidP="008B4283">
      <w:pPr>
        <w:rPr>
          <w:rFonts w:cs="Calibri"/>
        </w:rPr>
      </w:pPr>
      <w:r w:rsidRPr="000E1404">
        <w:rPr>
          <w:rFonts w:cs="Calibri"/>
        </w:rPr>
        <w:t xml:space="preserve">DEED works collaboratively with Alaska organizations on the Alaska Statewide Special Education Conference. The Alaska Statewide Special Education Conference (ASSEC) is committed to providing high quality professional development relevant to the cultural, rural, and remote characteristics of our great state. ASSEC has provided ongoing professional </w:t>
      </w:r>
      <w:r w:rsidRPr="008B4283">
        <w:rPr>
          <w:spacing w:val="-2"/>
        </w:rPr>
        <w:t>development</w:t>
      </w:r>
      <w:r w:rsidRPr="000E1404">
        <w:rPr>
          <w:rFonts w:cs="Calibri"/>
        </w:rPr>
        <w:t xml:space="preserve"> to Alaskan special educators, administrators, paraprofessionals, and families for more than 20 years</w:t>
      </w:r>
      <w:r>
        <w:rPr>
          <w:rFonts w:cs="Calibri"/>
        </w:rPr>
        <w:t>.</w:t>
      </w:r>
    </w:p>
    <w:p w14:paraId="71359B21" w14:textId="77777777" w:rsidR="00BA4A8C" w:rsidRDefault="00BA4A8C" w:rsidP="008B4283">
      <w:pPr>
        <w:pStyle w:val="BodyText"/>
        <w:ind w:right="274"/>
        <w:rPr>
          <w:spacing w:val="-2"/>
        </w:rPr>
      </w:pPr>
      <w:r w:rsidRPr="000E1404">
        <w:rPr>
          <w:rFonts w:cs="Calibri"/>
        </w:rPr>
        <w:t>The special education section has developed a full complement of e-learning courses that are provided for teachers and paraprofessionals.  These courses include an introduction to Early Childhood Transitions, Early Childhood Outcomes, Eligibility Categories, Evaluation Summary and Eligibility Review, Identifying Learning Theory, Individualized Education Program, Monitoring Student Progress, Post-Secondary Transition Planning in the IEP, Roles and Responsibility, Strategies for Accommodating Individual Need, and Supporting Student Learning Styles</w:t>
      </w:r>
      <w:r>
        <w:rPr>
          <w:rFonts w:cs="Calibri"/>
        </w:rPr>
        <w:t>.</w:t>
      </w:r>
    </w:p>
    <w:p w14:paraId="626B9FA1" w14:textId="61EBA2FC" w:rsidR="00481288" w:rsidRDefault="00BA4A8C">
      <w:r>
        <w:rPr>
          <w:rFonts w:ascii="Calibri" w:hAnsi="Calibri"/>
        </w:rPr>
        <w:t>DEED</w:t>
      </w:r>
      <w:r w:rsidRPr="00B41397">
        <w:rPr>
          <w:rFonts w:ascii="Calibri" w:hAnsi="Calibri"/>
        </w:rPr>
        <w:t xml:space="preserve"> </w:t>
      </w:r>
      <w:r w:rsidRPr="00B41397">
        <w:rPr>
          <w:rFonts w:cstheme="minorHAnsi"/>
        </w:rPr>
        <w:t xml:space="preserve">will create a collaborative team </w:t>
      </w:r>
      <w:r>
        <w:rPr>
          <w:rFonts w:cstheme="minorHAnsi"/>
        </w:rPr>
        <w:t>consisting of</w:t>
      </w:r>
      <w:r w:rsidRPr="00B41397">
        <w:rPr>
          <w:rFonts w:cstheme="minorHAnsi"/>
        </w:rPr>
        <w:t xml:space="preserve"> Special Education, Migrant Education, English Learner Education, State Systems of Support</w:t>
      </w:r>
      <w:r>
        <w:rPr>
          <w:rFonts w:cstheme="minorHAnsi"/>
        </w:rPr>
        <w:t>,</w:t>
      </w:r>
      <w:r w:rsidRPr="00B41397">
        <w:rPr>
          <w:rFonts w:cstheme="minorHAnsi"/>
        </w:rPr>
        <w:t xml:space="preserve"> </w:t>
      </w:r>
      <w:r>
        <w:rPr>
          <w:rFonts w:cstheme="minorHAnsi"/>
        </w:rPr>
        <w:t xml:space="preserve">Early Childhood Education, </w:t>
      </w:r>
      <w:r w:rsidRPr="00B41397">
        <w:rPr>
          <w:rFonts w:cstheme="minorHAnsi"/>
        </w:rPr>
        <w:t xml:space="preserve">and McKinney-Vento </w:t>
      </w:r>
      <w:r>
        <w:rPr>
          <w:rFonts w:cstheme="minorHAnsi"/>
        </w:rPr>
        <w:t>staff</w:t>
      </w:r>
      <w:r w:rsidRPr="00B41397">
        <w:rPr>
          <w:rFonts w:cstheme="minorHAnsi"/>
        </w:rPr>
        <w:t xml:space="preserve"> to design guidance on the use of </w:t>
      </w:r>
      <w:r>
        <w:rPr>
          <w:rFonts w:cstheme="minorHAnsi"/>
        </w:rPr>
        <w:t>district</w:t>
      </w:r>
      <w:r w:rsidRPr="00B41397">
        <w:rPr>
          <w:rFonts w:cstheme="minorHAnsi"/>
        </w:rPr>
        <w:t xml:space="preserve"> funds to support the improvement of th</w:t>
      </w:r>
      <w:r>
        <w:rPr>
          <w:rFonts w:cstheme="minorHAnsi"/>
        </w:rPr>
        <w:t>e skills teachers, principals, and</w:t>
      </w:r>
      <w:r w:rsidRPr="00B41397">
        <w:rPr>
          <w:rFonts w:cstheme="minorHAnsi"/>
        </w:rPr>
        <w:t xml:space="preserve"> other school leaders </w:t>
      </w:r>
      <w:r>
        <w:rPr>
          <w:rFonts w:cstheme="minorHAnsi"/>
        </w:rPr>
        <w:t xml:space="preserve">need </w:t>
      </w:r>
      <w:r w:rsidRPr="00B41397">
        <w:rPr>
          <w:rFonts w:cstheme="minorHAnsi"/>
        </w:rPr>
        <w:t xml:space="preserve">to </w:t>
      </w:r>
      <w:r>
        <w:rPr>
          <w:rFonts w:cstheme="minorHAnsi"/>
        </w:rPr>
        <w:t>meet</w:t>
      </w:r>
      <w:r w:rsidRPr="00B41397">
        <w:rPr>
          <w:rFonts w:cstheme="minorHAnsi"/>
        </w:rPr>
        <w:t xml:space="preserve"> specific student learning needs. This collaboration will also create guidance on how to leverage federal and </w:t>
      </w:r>
      <w:r>
        <w:rPr>
          <w:rFonts w:cstheme="minorHAnsi"/>
        </w:rPr>
        <w:t>S</w:t>
      </w:r>
      <w:r w:rsidRPr="00B41397">
        <w:rPr>
          <w:rFonts w:cstheme="minorHAnsi"/>
        </w:rPr>
        <w:t>tate funds to fully support all student</w:t>
      </w:r>
      <w:r>
        <w:rPr>
          <w:rFonts w:cstheme="minorHAnsi"/>
        </w:rPr>
        <w:t>s’</w:t>
      </w:r>
      <w:r w:rsidRPr="00B41397">
        <w:rPr>
          <w:rFonts w:cstheme="minorHAnsi"/>
        </w:rPr>
        <w:t xml:space="preserve"> learning needs through the braiding and blending of funds.  </w:t>
      </w:r>
      <w:r w:rsidR="00481288">
        <w:br w:type="page"/>
      </w:r>
    </w:p>
    <w:p w14:paraId="4E2BFE22" w14:textId="3FCD27E1" w:rsidR="00B73A8F" w:rsidRDefault="00BA4A8C" w:rsidP="00B73A8F">
      <w:pPr>
        <w:pStyle w:val="Heading2"/>
        <w:numPr>
          <w:ilvl w:val="0"/>
          <w:numId w:val="98"/>
        </w:numPr>
      </w:pPr>
      <w:r w:rsidRPr="00B41397">
        <w:lastRenderedPageBreak/>
        <w:t>Data and Consultation</w:t>
      </w:r>
    </w:p>
    <w:p w14:paraId="4FCFCD7B" w14:textId="5089B685" w:rsidR="00BA4A8C" w:rsidRPr="00B41397" w:rsidRDefault="00BA4A8C" w:rsidP="00B73A8F">
      <w:pPr>
        <w:autoSpaceDE w:val="0"/>
        <w:autoSpaceDN w:val="0"/>
        <w:adjustRightInd w:val="0"/>
        <w:ind w:left="360"/>
        <w:rPr>
          <w:rFonts w:ascii="Calibri" w:hAnsi="Calibri" w:cs="Times New Roman"/>
          <w:color w:val="000000"/>
        </w:rPr>
      </w:pPr>
      <w:r w:rsidRPr="00B41397">
        <w:rPr>
          <w:rFonts w:ascii="Calibri" w:hAnsi="Calibri" w:cs="Times New Roman"/>
          <w:i/>
          <w:iCs/>
          <w:color w:val="000000"/>
        </w:rPr>
        <w:t>(ESEA section 2101(d)(2)(K))</w:t>
      </w:r>
      <w:r w:rsidRPr="00B41397">
        <w:rPr>
          <w:rFonts w:ascii="Calibri" w:hAnsi="Calibri" w:cs="Times New Roman"/>
          <w:color w:val="000000"/>
        </w:rPr>
        <w:t xml:space="preserve">: Describe how the State will use data and ongoing consultation as described in ESEA section 2101(d)(3) to continually update and improve the activities supported under Title II, Part A. </w:t>
      </w:r>
    </w:p>
    <w:p w14:paraId="21BD62B5" w14:textId="77777777" w:rsidR="00BA4A8C" w:rsidRDefault="00BA4A8C" w:rsidP="00424E73">
      <w:pPr>
        <w:autoSpaceDE w:val="0"/>
        <w:autoSpaceDN w:val="0"/>
        <w:adjustRightInd w:val="0"/>
        <w:rPr>
          <w:rFonts w:ascii="Calibri" w:hAnsi="Calibri"/>
        </w:rPr>
      </w:pPr>
      <w:r>
        <w:rPr>
          <w:rFonts w:ascii="Calibri" w:hAnsi="Calibri"/>
        </w:rPr>
        <w:t>DEED</w:t>
      </w:r>
      <w:r w:rsidRPr="00B41397">
        <w:rPr>
          <w:rFonts w:ascii="Calibri" w:hAnsi="Calibri"/>
        </w:rPr>
        <w:t xml:space="preserve"> will continue to use existing advisory </w:t>
      </w:r>
      <w:r>
        <w:rPr>
          <w:rFonts w:ascii="Calibri" w:hAnsi="Calibri"/>
        </w:rPr>
        <w:t xml:space="preserve">councils and </w:t>
      </w:r>
      <w:r w:rsidRPr="00B41397">
        <w:rPr>
          <w:rFonts w:ascii="Calibri" w:hAnsi="Calibri"/>
        </w:rPr>
        <w:t xml:space="preserve">committees to meaningfully consult on the activities supported under Title II, Part A. The advisory committees described below are the Commissioner’s Teacher Advisory Committee and Educational Leadership Council, Educator Quality Advisory Committee, and Educator Evaluation </w:t>
      </w:r>
      <w:r>
        <w:rPr>
          <w:rFonts w:ascii="Calibri" w:hAnsi="Calibri"/>
        </w:rPr>
        <w:t>and</w:t>
      </w:r>
      <w:r w:rsidRPr="00B41397">
        <w:rPr>
          <w:rFonts w:ascii="Calibri" w:hAnsi="Calibri"/>
        </w:rPr>
        <w:t xml:space="preserve"> Support Advisory Committee. In addition, DEED collaborates with other organizations and partners with relevant and demonstrated expertise in </w:t>
      </w:r>
      <w:r>
        <w:rPr>
          <w:rFonts w:ascii="Calibri" w:hAnsi="Calibri"/>
        </w:rPr>
        <w:t xml:space="preserve">cohesive </w:t>
      </w:r>
      <w:r w:rsidRPr="00B41397">
        <w:rPr>
          <w:rFonts w:ascii="Calibri" w:hAnsi="Calibri"/>
        </w:rPr>
        <w:t>professional development and learning</w:t>
      </w:r>
      <w:r>
        <w:rPr>
          <w:rFonts w:ascii="Calibri" w:hAnsi="Calibri"/>
        </w:rPr>
        <w:t xml:space="preserve"> (such as the Alaska Staff Development Network, Southeast Regional Resource Center, and Professional and Continuing Education at the University of Alaska Anchorage (UAA))</w:t>
      </w:r>
      <w:r w:rsidRPr="00B41397">
        <w:rPr>
          <w:rFonts w:ascii="Calibri" w:hAnsi="Calibri"/>
        </w:rPr>
        <w:t xml:space="preserve">. </w:t>
      </w:r>
      <w:r>
        <w:rPr>
          <w:rFonts w:ascii="Calibri" w:hAnsi="Calibri"/>
        </w:rPr>
        <w:t>DEED will continue to consult with and seek feedback from a broad range of stakeholders including educators, parents, and community and tribal representatives on activities supported under Title II, Part A and other programs under ESSA.</w:t>
      </w:r>
    </w:p>
    <w:p w14:paraId="5186241A" w14:textId="77777777" w:rsidR="00BA4A8C" w:rsidRPr="00B41397" w:rsidRDefault="00BA4A8C" w:rsidP="00424E73">
      <w:pPr>
        <w:autoSpaceDE w:val="0"/>
        <w:autoSpaceDN w:val="0"/>
        <w:adjustRightInd w:val="0"/>
        <w:rPr>
          <w:rFonts w:ascii="Calibri" w:hAnsi="Calibri"/>
          <w:b/>
        </w:rPr>
      </w:pPr>
      <w:r w:rsidRPr="00B41397">
        <w:rPr>
          <w:rFonts w:ascii="Calibri" w:hAnsi="Calibri"/>
          <w:b/>
        </w:rPr>
        <w:t xml:space="preserve">Commissioner’s Teacher Advisory </w:t>
      </w:r>
      <w:r>
        <w:rPr>
          <w:rFonts w:ascii="Calibri" w:hAnsi="Calibri"/>
          <w:b/>
        </w:rPr>
        <w:t>Council</w:t>
      </w:r>
    </w:p>
    <w:p w14:paraId="2223D5FC" w14:textId="77777777" w:rsidR="00BA4A8C" w:rsidRPr="00B41397" w:rsidRDefault="00BA4A8C" w:rsidP="00424E73">
      <w:pPr>
        <w:autoSpaceDE w:val="0"/>
        <w:autoSpaceDN w:val="0"/>
        <w:adjustRightInd w:val="0"/>
        <w:rPr>
          <w:rFonts w:ascii="Calibri" w:hAnsi="Calibri"/>
        </w:rPr>
      </w:pPr>
      <w:r w:rsidRPr="00B41397">
        <w:rPr>
          <w:rFonts w:ascii="Calibri" w:hAnsi="Calibri"/>
        </w:rPr>
        <w:t>The Commissioner’s Teacher Advisory Committee is a stakeholder group that provides a teacher per</w:t>
      </w:r>
      <w:r>
        <w:rPr>
          <w:rFonts w:ascii="Calibri" w:hAnsi="Calibri"/>
        </w:rPr>
        <w:t>sp</w:t>
      </w:r>
      <w:r w:rsidRPr="00B41397">
        <w:rPr>
          <w:rFonts w:ascii="Calibri" w:hAnsi="Calibri"/>
        </w:rPr>
        <w:t>e</w:t>
      </w:r>
      <w:r>
        <w:rPr>
          <w:rFonts w:ascii="Calibri" w:hAnsi="Calibri"/>
        </w:rPr>
        <w:t>c</w:t>
      </w:r>
      <w:r w:rsidRPr="00B41397">
        <w:rPr>
          <w:rFonts w:ascii="Calibri" w:hAnsi="Calibri"/>
        </w:rPr>
        <w:t xml:space="preserve">tive on </w:t>
      </w:r>
      <w:r>
        <w:rPr>
          <w:rFonts w:ascii="Calibri" w:hAnsi="Calibri"/>
        </w:rPr>
        <w:t xml:space="preserve">DEED’s </w:t>
      </w:r>
      <w:r w:rsidRPr="00B41397">
        <w:rPr>
          <w:rFonts w:ascii="Calibri" w:hAnsi="Calibri"/>
        </w:rPr>
        <w:t>initiatives and programs. The committee consists of the past and present Alaska Teachers of the Year; Alaskan Milken Educator</w:t>
      </w:r>
      <w:r>
        <w:rPr>
          <w:rFonts w:ascii="Calibri" w:hAnsi="Calibri"/>
        </w:rPr>
        <w:t>s</w:t>
      </w:r>
      <w:r w:rsidRPr="00B41397">
        <w:rPr>
          <w:rFonts w:ascii="Calibri" w:hAnsi="Calibri"/>
        </w:rPr>
        <w:t xml:space="preserve">; </w:t>
      </w:r>
      <w:r>
        <w:rPr>
          <w:rFonts w:ascii="Calibri" w:hAnsi="Calibri"/>
        </w:rPr>
        <w:t xml:space="preserve">the </w:t>
      </w:r>
      <w:r w:rsidRPr="00B41397">
        <w:rPr>
          <w:rFonts w:ascii="Calibri" w:hAnsi="Calibri"/>
        </w:rPr>
        <w:t>National Education Association Alaska</w:t>
      </w:r>
      <w:r>
        <w:rPr>
          <w:rFonts w:ascii="Calibri" w:hAnsi="Calibri"/>
        </w:rPr>
        <w:t xml:space="preserve"> (NEA-AK)</w:t>
      </w:r>
      <w:r w:rsidRPr="00B41397">
        <w:rPr>
          <w:rFonts w:ascii="Calibri" w:hAnsi="Calibri"/>
        </w:rPr>
        <w:t xml:space="preserve"> President, and teacher representative</w:t>
      </w:r>
      <w:r>
        <w:rPr>
          <w:rFonts w:ascii="Calibri" w:hAnsi="Calibri"/>
        </w:rPr>
        <w:t>s</w:t>
      </w:r>
      <w:r w:rsidRPr="00B41397">
        <w:rPr>
          <w:rFonts w:ascii="Calibri" w:hAnsi="Calibri"/>
        </w:rPr>
        <w:t xml:space="preserve"> from all regions of the state. </w:t>
      </w:r>
    </w:p>
    <w:p w14:paraId="29503A41" w14:textId="77777777" w:rsidR="00BA4A8C" w:rsidRPr="00B41397" w:rsidRDefault="00BA4A8C" w:rsidP="00424E73">
      <w:pPr>
        <w:autoSpaceDE w:val="0"/>
        <w:autoSpaceDN w:val="0"/>
        <w:adjustRightInd w:val="0"/>
        <w:rPr>
          <w:rFonts w:ascii="Calibri" w:hAnsi="Calibri"/>
          <w:b/>
        </w:rPr>
      </w:pPr>
      <w:r w:rsidRPr="00B41397">
        <w:rPr>
          <w:rFonts w:ascii="Calibri" w:hAnsi="Calibri"/>
          <w:b/>
        </w:rPr>
        <w:t>Commissioner’s Education Leadership Council</w:t>
      </w:r>
    </w:p>
    <w:p w14:paraId="05D7AB54" w14:textId="77777777" w:rsidR="00BA4A8C" w:rsidRPr="00B41397" w:rsidRDefault="00BA4A8C" w:rsidP="00424E73">
      <w:pPr>
        <w:autoSpaceDE w:val="0"/>
        <w:autoSpaceDN w:val="0"/>
        <w:adjustRightInd w:val="0"/>
        <w:rPr>
          <w:rFonts w:ascii="Calibri" w:hAnsi="Calibri"/>
        </w:rPr>
      </w:pPr>
      <w:r w:rsidRPr="00B41397">
        <w:rPr>
          <w:rFonts w:ascii="Calibri" w:hAnsi="Calibri"/>
        </w:rPr>
        <w:t>The Commissioner’s Education Leadership Council is a stakeholder group that provides an outside per</w:t>
      </w:r>
      <w:r>
        <w:rPr>
          <w:rFonts w:ascii="Calibri" w:hAnsi="Calibri"/>
        </w:rPr>
        <w:t>sp</w:t>
      </w:r>
      <w:r w:rsidRPr="00B41397">
        <w:rPr>
          <w:rFonts w:ascii="Calibri" w:hAnsi="Calibri"/>
        </w:rPr>
        <w:t>e</w:t>
      </w:r>
      <w:r>
        <w:rPr>
          <w:rFonts w:ascii="Calibri" w:hAnsi="Calibri"/>
        </w:rPr>
        <w:t>c</w:t>
      </w:r>
      <w:r w:rsidRPr="00B41397">
        <w:rPr>
          <w:rFonts w:ascii="Calibri" w:hAnsi="Calibri"/>
        </w:rPr>
        <w:t>tive on</w:t>
      </w:r>
      <w:r>
        <w:rPr>
          <w:rFonts w:ascii="Calibri" w:hAnsi="Calibri"/>
        </w:rPr>
        <w:t xml:space="preserve"> DEED’s</w:t>
      </w:r>
      <w:r w:rsidRPr="00B41397">
        <w:rPr>
          <w:rFonts w:ascii="Calibri" w:hAnsi="Calibri"/>
        </w:rPr>
        <w:t xml:space="preserve"> initiatives and p</w:t>
      </w:r>
      <w:r>
        <w:rPr>
          <w:rFonts w:ascii="Calibri" w:hAnsi="Calibri"/>
        </w:rPr>
        <w:t>olicies.</w:t>
      </w:r>
      <w:r w:rsidRPr="00B41397">
        <w:rPr>
          <w:rFonts w:ascii="Calibri" w:hAnsi="Calibri"/>
        </w:rPr>
        <w:t xml:space="preserve"> The committee consists of the </w:t>
      </w:r>
      <w:r>
        <w:rPr>
          <w:rFonts w:ascii="Calibri" w:hAnsi="Calibri"/>
        </w:rPr>
        <w:t xml:space="preserve">current president and executive director of the </w:t>
      </w:r>
      <w:r w:rsidRPr="00B41397">
        <w:rPr>
          <w:rFonts w:ascii="Calibri" w:hAnsi="Calibri"/>
        </w:rPr>
        <w:t>Alaska Association of School Boards (AASB), Alaska Council of School Administrators (ACSA), Alaska Superintendent’s Association (ASA), Alaska Association of Elementary Principals (AAEP), Alaska Association</w:t>
      </w:r>
      <w:r>
        <w:rPr>
          <w:rFonts w:ascii="Calibri" w:hAnsi="Calibri"/>
        </w:rPr>
        <w:t xml:space="preserve"> of Secondary Principals (AASP), </w:t>
      </w:r>
      <w:r w:rsidRPr="00B41397">
        <w:rPr>
          <w:rFonts w:ascii="Calibri" w:hAnsi="Calibri"/>
        </w:rPr>
        <w:t>the Alaska Association of School Business Officials (A</w:t>
      </w:r>
      <w:r>
        <w:rPr>
          <w:rFonts w:ascii="Calibri" w:hAnsi="Calibri"/>
        </w:rPr>
        <w:t>L</w:t>
      </w:r>
      <w:r w:rsidRPr="00B41397">
        <w:rPr>
          <w:rFonts w:ascii="Calibri" w:hAnsi="Calibri"/>
        </w:rPr>
        <w:t>ASBO)</w:t>
      </w:r>
      <w:r>
        <w:rPr>
          <w:rFonts w:ascii="Calibri" w:hAnsi="Calibri"/>
        </w:rPr>
        <w:t>, and Alaska’s Parent and Teacher Association (PTA)</w:t>
      </w:r>
      <w:r w:rsidRPr="00B41397">
        <w:rPr>
          <w:rFonts w:ascii="Calibri" w:hAnsi="Calibri"/>
        </w:rPr>
        <w:t>.</w:t>
      </w:r>
    </w:p>
    <w:p w14:paraId="1AAF9439" w14:textId="77777777" w:rsidR="00BA4A8C" w:rsidRPr="00B41397" w:rsidRDefault="00BA4A8C" w:rsidP="00424E73">
      <w:pPr>
        <w:autoSpaceDE w:val="0"/>
        <w:autoSpaceDN w:val="0"/>
        <w:adjustRightInd w:val="0"/>
        <w:rPr>
          <w:rFonts w:ascii="Calibri" w:hAnsi="Calibri"/>
          <w:b/>
        </w:rPr>
      </w:pPr>
      <w:r w:rsidRPr="00B41397">
        <w:rPr>
          <w:rFonts w:ascii="Calibri" w:hAnsi="Calibri"/>
          <w:b/>
        </w:rPr>
        <w:t xml:space="preserve">Educator Quality Advisory Committee </w:t>
      </w:r>
    </w:p>
    <w:p w14:paraId="5CD5FFEF" w14:textId="77777777" w:rsidR="00BA4A8C" w:rsidRPr="00B41397" w:rsidRDefault="00BA4A8C" w:rsidP="00424E73">
      <w:pPr>
        <w:autoSpaceDE w:val="0"/>
        <w:autoSpaceDN w:val="0"/>
        <w:adjustRightInd w:val="0"/>
        <w:rPr>
          <w:rFonts w:ascii="Calibri" w:hAnsi="Calibri"/>
        </w:rPr>
      </w:pPr>
      <w:r w:rsidRPr="00B41397">
        <w:rPr>
          <w:rFonts w:ascii="Calibri" w:hAnsi="Calibri"/>
        </w:rPr>
        <w:t xml:space="preserve">The Educator Quality Advisory Committee is a stakeholder group that focuses on improving </w:t>
      </w:r>
      <w:r>
        <w:rPr>
          <w:rFonts w:ascii="Calibri" w:hAnsi="Calibri"/>
        </w:rPr>
        <w:t>e</w:t>
      </w:r>
      <w:r w:rsidRPr="00B41397">
        <w:rPr>
          <w:rFonts w:ascii="Calibri" w:hAnsi="Calibri"/>
        </w:rPr>
        <w:t xml:space="preserve">ducator </w:t>
      </w:r>
      <w:r>
        <w:rPr>
          <w:rFonts w:ascii="Calibri" w:hAnsi="Calibri"/>
        </w:rPr>
        <w:t>q</w:t>
      </w:r>
      <w:r w:rsidRPr="00B41397">
        <w:rPr>
          <w:rFonts w:ascii="Calibri" w:hAnsi="Calibri"/>
        </w:rPr>
        <w:t xml:space="preserve">uality in Alaska. It </w:t>
      </w:r>
      <w:r>
        <w:rPr>
          <w:rFonts w:ascii="Calibri" w:hAnsi="Calibri"/>
        </w:rPr>
        <w:t xml:space="preserve">primarily </w:t>
      </w:r>
      <w:r w:rsidRPr="00B41397">
        <w:rPr>
          <w:rFonts w:ascii="Calibri" w:hAnsi="Calibri"/>
        </w:rPr>
        <w:t xml:space="preserve">advises </w:t>
      </w:r>
      <w:r>
        <w:rPr>
          <w:rFonts w:ascii="Calibri" w:hAnsi="Calibri"/>
        </w:rPr>
        <w:t>DEED</w:t>
      </w:r>
      <w:r w:rsidRPr="00B41397">
        <w:rPr>
          <w:rFonts w:ascii="Calibri" w:hAnsi="Calibri"/>
        </w:rPr>
        <w:t xml:space="preserve"> on changes to teacher certification and preparation, </w:t>
      </w:r>
      <w:r>
        <w:rPr>
          <w:rFonts w:ascii="Calibri" w:hAnsi="Calibri"/>
        </w:rPr>
        <w:t>and also</w:t>
      </w:r>
      <w:r w:rsidRPr="00B41397">
        <w:rPr>
          <w:rFonts w:ascii="Calibri" w:hAnsi="Calibri"/>
        </w:rPr>
        <w:t xml:space="preserve"> considers teacher development, evaluation</w:t>
      </w:r>
      <w:r>
        <w:rPr>
          <w:rFonts w:ascii="Calibri" w:hAnsi="Calibri"/>
        </w:rPr>
        <w:t>,</w:t>
      </w:r>
      <w:r w:rsidRPr="00B41397">
        <w:rPr>
          <w:rFonts w:ascii="Calibri" w:hAnsi="Calibri"/>
        </w:rPr>
        <w:t xml:space="preserve"> and other teacher quality related issues. This committee consists of the </w:t>
      </w:r>
      <w:r>
        <w:rPr>
          <w:rFonts w:ascii="Calibri" w:hAnsi="Calibri"/>
        </w:rPr>
        <w:t>d</w:t>
      </w:r>
      <w:r w:rsidRPr="00B41397">
        <w:rPr>
          <w:rFonts w:ascii="Calibri" w:hAnsi="Calibri"/>
        </w:rPr>
        <w:t xml:space="preserve">eans and </w:t>
      </w:r>
      <w:r>
        <w:rPr>
          <w:rFonts w:ascii="Calibri" w:hAnsi="Calibri"/>
        </w:rPr>
        <w:t>p</w:t>
      </w:r>
      <w:r w:rsidRPr="00B41397">
        <w:rPr>
          <w:rFonts w:ascii="Calibri" w:hAnsi="Calibri"/>
        </w:rPr>
        <w:t xml:space="preserve">rofessors from all four of the state’s </w:t>
      </w:r>
      <w:r>
        <w:rPr>
          <w:rFonts w:ascii="Calibri" w:hAnsi="Calibri"/>
        </w:rPr>
        <w:t>institutes of higher education</w:t>
      </w:r>
      <w:r w:rsidRPr="00B41397">
        <w:rPr>
          <w:rFonts w:ascii="Calibri" w:hAnsi="Calibri"/>
        </w:rPr>
        <w:t xml:space="preserve">, </w:t>
      </w:r>
      <w:r>
        <w:rPr>
          <w:rFonts w:ascii="Calibri" w:hAnsi="Calibri"/>
        </w:rPr>
        <w:t xml:space="preserve">the </w:t>
      </w:r>
      <w:r w:rsidRPr="00B41397">
        <w:rPr>
          <w:rFonts w:ascii="Calibri" w:hAnsi="Calibri"/>
        </w:rPr>
        <w:t xml:space="preserve">director of K-12 Outreach for the </w:t>
      </w:r>
      <w:r>
        <w:rPr>
          <w:rFonts w:ascii="Calibri" w:hAnsi="Calibri"/>
        </w:rPr>
        <w:t>University of Alaska</w:t>
      </w:r>
      <w:r w:rsidRPr="00B41397">
        <w:rPr>
          <w:rFonts w:ascii="Calibri" w:hAnsi="Calibri"/>
        </w:rPr>
        <w:t>, National Education Association Alaska (NEA-AK) representatives,</w:t>
      </w:r>
      <w:r>
        <w:rPr>
          <w:rFonts w:ascii="Calibri" w:hAnsi="Calibri"/>
        </w:rPr>
        <w:t xml:space="preserve"> other teacher representatives,</w:t>
      </w:r>
      <w:r w:rsidRPr="00B41397">
        <w:rPr>
          <w:rFonts w:ascii="Calibri" w:hAnsi="Calibri"/>
        </w:rPr>
        <w:t xml:space="preserve"> State Board of Education </w:t>
      </w:r>
      <w:r>
        <w:rPr>
          <w:rFonts w:ascii="Calibri" w:hAnsi="Calibri"/>
        </w:rPr>
        <w:t xml:space="preserve">members, and </w:t>
      </w:r>
      <w:r w:rsidRPr="00B41397">
        <w:rPr>
          <w:rFonts w:ascii="Calibri" w:hAnsi="Calibri"/>
        </w:rPr>
        <w:t>representat</w:t>
      </w:r>
      <w:r>
        <w:rPr>
          <w:rFonts w:ascii="Calibri" w:hAnsi="Calibri"/>
        </w:rPr>
        <w:t>ives</w:t>
      </w:r>
      <w:r w:rsidRPr="00B41397">
        <w:rPr>
          <w:rFonts w:ascii="Calibri" w:hAnsi="Calibri"/>
        </w:rPr>
        <w:t xml:space="preserve"> from districts</w:t>
      </w:r>
      <w:r>
        <w:rPr>
          <w:rFonts w:ascii="Calibri" w:hAnsi="Calibri"/>
        </w:rPr>
        <w:t>,</w:t>
      </w:r>
      <w:r w:rsidRPr="00B41397">
        <w:rPr>
          <w:rFonts w:ascii="Calibri" w:hAnsi="Calibri"/>
        </w:rPr>
        <w:t xml:space="preserve"> including human resources and instruction personnel. </w:t>
      </w:r>
    </w:p>
    <w:p w14:paraId="59498E0E" w14:textId="77777777" w:rsidR="00BA4A8C" w:rsidRPr="00B41397" w:rsidRDefault="00BA4A8C" w:rsidP="00424E73">
      <w:pPr>
        <w:autoSpaceDE w:val="0"/>
        <w:autoSpaceDN w:val="0"/>
        <w:adjustRightInd w:val="0"/>
        <w:rPr>
          <w:rFonts w:ascii="Calibri" w:hAnsi="Calibri"/>
          <w:b/>
        </w:rPr>
      </w:pPr>
      <w:r w:rsidRPr="00B41397">
        <w:rPr>
          <w:rFonts w:ascii="Calibri" w:hAnsi="Calibri"/>
          <w:b/>
        </w:rPr>
        <w:t>Educator Evaluation and Support Advisory Committee</w:t>
      </w:r>
    </w:p>
    <w:p w14:paraId="75DB986F" w14:textId="77777777" w:rsidR="00BA4A8C" w:rsidRPr="00B41397" w:rsidRDefault="00BA4A8C" w:rsidP="00424E73">
      <w:pPr>
        <w:autoSpaceDE w:val="0"/>
        <w:autoSpaceDN w:val="0"/>
        <w:adjustRightInd w:val="0"/>
        <w:rPr>
          <w:rFonts w:ascii="Calibri" w:hAnsi="Calibri"/>
        </w:rPr>
      </w:pPr>
      <w:r w:rsidRPr="00B41397">
        <w:rPr>
          <w:rFonts w:ascii="Calibri" w:hAnsi="Calibri"/>
        </w:rPr>
        <w:t xml:space="preserve">The Educator Evaluation Advisory Committee has been a key stakeholder group formed to assist </w:t>
      </w:r>
      <w:r>
        <w:rPr>
          <w:rFonts w:ascii="Calibri" w:hAnsi="Calibri"/>
        </w:rPr>
        <w:t>DEED</w:t>
      </w:r>
      <w:r w:rsidRPr="00B41397">
        <w:rPr>
          <w:rFonts w:ascii="Calibri" w:hAnsi="Calibri"/>
        </w:rPr>
        <w:t xml:space="preserve"> in providing guidance and resources for districts in the redesign</w:t>
      </w:r>
      <w:r>
        <w:rPr>
          <w:rFonts w:ascii="Calibri" w:hAnsi="Calibri"/>
        </w:rPr>
        <w:t xml:space="preserve"> and implementation</w:t>
      </w:r>
      <w:r w:rsidRPr="00B41397">
        <w:rPr>
          <w:rFonts w:ascii="Calibri" w:hAnsi="Calibri"/>
        </w:rPr>
        <w:t xml:space="preserve"> of their Educator</w:t>
      </w:r>
      <w:r>
        <w:rPr>
          <w:rFonts w:ascii="Calibri" w:hAnsi="Calibri"/>
        </w:rPr>
        <w:t xml:space="preserve"> Evaluation and Support systems</w:t>
      </w:r>
      <w:r w:rsidRPr="00B41397">
        <w:rPr>
          <w:rFonts w:ascii="Calibri" w:hAnsi="Calibri"/>
        </w:rPr>
        <w:t xml:space="preserve">. </w:t>
      </w:r>
      <w:r>
        <w:rPr>
          <w:rFonts w:ascii="Calibri" w:hAnsi="Calibri"/>
        </w:rPr>
        <w:t>R</w:t>
      </w:r>
      <w:r w:rsidRPr="00B41397">
        <w:rPr>
          <w:rFonts w:ascii="Calibri" w:hAnsi="Calibri"/>
        </w:rPr>
        <w:t xml:space="preserve">epresentatives include human resources, curriculum and instruction, and </w:t>
      </w:r>
      <w:r>
        <w:rPr>
          <w:rFonts w:ascii="Calibri" w:hAnsi="Calibri"/>
        </w:rPr>
        <w:t>educational association leaders from across the state.</w:t>
      </w:r>
      <w:r w:rsidRPr="00B41397">
        <w:rPr>
          <w:rFonts w:ascii="Calibri" w:hAnsi="Calibri"/>
        </w:rPr>
        <w:t xml:space="preserve">  </w:t>
      </w:r>
    </w:p>
    <w:p w14:paraId="680CA765" w14:textId="77777777" w:rsidR="00BA4A8C" w:rsidRDefault="00BA4A8C" w:rsidP="00424E73">
      <w:pPr>
        <w:autoSpaceDE w:val="0"/>
        <w:autoSpaceDN w:val="0"/>
        <w:adjustRightInd w:val="0"/>
        <w:rPr>
          <w:rFonts w:ascii="Calibri" w:hAnsi="Calibri"/>
        </w:rPr>
      </w:pPr>
      <w:r>
        <w:rPr>
          <w:rFonts w:ascii="Calibri" w:hAnsi="Calibri"/>
        </w:rPr>
        <w:lastRenderedPageBreak/>
        <w:t>DEED</w:t>
      </w:r>
      <w:r w:rsidRPr="00B41397">
        <w:rPr>
          <w:rFonts w:ascii="Calibri" w:hAnsi="Calibri"/>
        </w:rPr>
        <w:t xml:space="preserve"> shares data relevant to the purpose of the advisory committee or other organizations and partners. Examples of data would include educator evaluation </w:t>
      </w:r>
      <w:r>
        <w:rPr>
          <w:rFonts w:ascii="Calibri" w:hAnsi="Calibri"/>
        </w:rPr>
        <w:t>and</w:t>
      </w:r>
      <w:r w:rsidRPr="00B41397">
        <w:rPr>
          <w:rFonts w:ascii="Calibri" w:hAnsi="Calibri"/>
        </w:rPr>
        <w:t xml:space="preserve"> support data, educator qualification data, passing rates and scores on basic and content area exams for educators, and student academic achievement data. The various advisory committees meet on a monthly, quarterly</w:t>
      </w:r>
      <w:r>
        <w:rPr>
          <w:rFonts w:ascii="Calibri" w:hAnsi="Calibri"/>
        </w:rPr>
        <w:t>,</w:t>
      </w:r>
      <w:r w:rsidRPr="00B41397">
        <w:rPr>
          <w:rFonts w:ascii="Calibri" w:hAnsi="Calibri"/>
        </w:rPr>
        <w:t xml:space="preserve"> or yearly basis depending on the need.</w:t>
      </w:r>
    </w:p>
    <w:p w14:paraId="55CEFFF7" w14:textId="5104699D" w:rsidR="00B73A8F" w:rsidRDefault="00BA4A8C" w:rsidP="00B73A8F">
      <w:pPr>
        <w:pStyle w:val="Heading2"/>
        <w:numPr>
          <w:ilvl w:val="0"/>
          <w:numId w:val="98"/>
        </w:numPr>
      </w:pPr>
      <w:r w:rsidRPr="00B41397">
        <w:t>Teacher Preparation</w:t>
      </w:r>
    </w:p>
    <w:p w14:paraId="431B0276" w14:textId="409A3C18" w:rsidR="00BA4A8C" w:rsidRPr="00B41397" w:rsidRDefault="00B73A8F" w:rsidP="00B73A8F">
      <w:pPr>
        <w:autoSpaceDE w:val="0"/>
        <w:autoSpaceDN w:val="0"/>
        <w:adjustRightInd w:val="0"/>
        <w:ind w:left="360"/>
        <w:rPr>
          <w:rFonts w:ascii="Calibri" w:hAnsi="Calibri" w:cs="Times New Roman"/>
          <w:color w:val="000000"/>
        </w:rPr>
      </w:pPr>
      <w:r>
        <w:rPr>
          <w:rFonts w:ascii="Calibri" w:hAnsi="Calibri" w:cs="Times New Roman"/>
          <w:i/>
          <w:iCs/>
          <w:color w:val="000000"/>
        </w:rPr>
        <w:t>(</w:t>
      </w:r>
      <w:r w:rsidR="00BA4A8C" w:rsidRPr="00B41397">
        <w:rPr>
          <w:rFonts w:ascii="Calibri" w:hAnsi="Calibri" w:cs="Times New Roman"/>
          <w:i/>
          <w:iCs/>
          <w:color w:val="000000"/>
        </w:rPr>
        <w:t>ESEA section 2101(d</w:t>
      </w:r>
      <w:proofErr w:type="gramStart"/>
      <w:r w:rsidR="00BA4A8C" w:rsidRPr="00B41397">
        <w:rPr>
          <w:rFonts w:ascii="Calibri" w:hAnsi="Calibri" w:cs="Times New Roman"/>
          <w:i/>
          <w:iCs/>
          <w:color w:val="000000"/>
        </w:rPr>
        <w:t>)(</w:t>
      </w:r>
      <w:proofErr w:type="gramEnd"/>
      <w:r w:rsidR="00BA4A8C" w:rsidRPr="00B41397">
        <w:rPr>
          <w:rFonts w:ascii="Calibri" w:hAnsi="Calibri" w:cs="Times New Roman"/>
          <w:i/>
          <w:iCs/>
          <w:color w:val="000000"/>
        </w:rPr>
        <w:t>2)(M))</w:t>
      </w:r>
      <w:r w:rsidR="00BA4A8C" w:rsidRPr="00B41397">
        <w:rPr>
          <w:rFonts w:ascii="Calibri" w:hAnsi="Calibri" w:cs="Times New Roman"/>
          <w:color w:val="000000"/>
        </w:rPr>
        <w:t xml:space="preserve">: Describe the actions the State may take to improve preparation programs and strengthen support for teachers, principals, or other school leaders based on the needs of the State, as identified by the SEA. </w:t>
      </w:r>
    </w:p>
    <w:p w14:paraId="190D2EBC" w14:textId="77777777" w:rsidR="00BA4A8C" w:rsidRDefault="00BA4A8C" w:rsidP="00424E73">
      <w:pPr>
        <w:autoSpaceDE w:val="0"/>
        <w:autoSpaceDN w:val="0"/>
        <w:adjustRightInd w:val="0"/>
        <w:rPr>
          <w:rFonts w:ascii="Calibri" w:hAnsi="Calibri"/>
        </w:rPr>
      </w:pPr>
      <w:r>
        <w:rPr>
          <w:rFonts w:ascii="Calibri" w:hAnsi="Calibri"/>
        </w:rPr>
        <w:t xml:space="preserve">Collaboration with Alaska universities and colleges is another strategy to improve programs, strengthen support, and promote equity. The three University of Alaska teacher preparation programs that were run separately at each campus are merging into one program. As an example of DEED-university collaboration, DEED is serving in an advisory capacity in the merger of the programs. </w:t>
      </w:r>
    </w:p>
    <w:p w14:paraId="443E49A7" w14:textId="77777777" w:rsidR="00BA4A8C" w:rsidRDefault="00BA4A8C" w:rsidP="00424E73">
      <w:pPr>
        <w:autoSpaceDE w:val="0"/>
        <w:autoSpaceDN w:val="0"/>
        <w:adjustRightInd w:val="0"/>
        <w:ind w:left="-23"/>
        <w:rPr>
          <w:rFonts w:ascii="Calibri" w:hAnsi="Calibri"/>
        </w:rPr>
      </w:pPr>
      <w:r>
        <w:rPr>
          <w:rFonts w:ascii="Calibri" w:hAnsi="Calibri"/>
        </w:rPr>
        <w:t>DEED’s</w:t>
      </w:r>
      <w:r w:rsidRPr="00B41397">
        <w:rPr>
          <w:rFonts w:ascii="Calibri" w:hAnsi="Calibri"/>
        </w:rPr>
        <w:t xml:space="preserve"> program review and approval process requires educator preparation programs to adhere to </w:t>
      </w:r>
      <w:r>
        <w:rPr>
          <w:rFonts w:ascii="Calibri" w:hAnsi="Calibri"/>
        </w:rPr>
        <w:t>state regulations for</w:t>
      </w:r>
      <w:r w:rsidRPr="00B41397">
        <w:rPr>
          <w:rFonts w:ascii="Calibri" w:hAnsi="Calibri"/>
        </w:rPr>
        <w:t xml:space="preserve"> </w:t>
      </w:r>
      <w:r>
        <w:rPr>
          <w:rFonts w:ascii="Calibri" w:hAnsi="Calibri"/>
        </w:rPr>
        <w:t>a</w:t>
      </w:r>
      <w:r w:rsidRPr="00B41397">
        <w:rPr>
          <w:rFonts w:ascii="Calibri" w:hAnsi="Calibri"/>
        </w:rPr>
        <w:t>pproval of in-state educator preparation programs</w:t>
      </w:r>
      <w:r>
        <w:rPr>
          <w:rFonts w:ascii="Calibri" w:hAnsi="Calibri"/>
        </w:rPr>
        <w:t xml:space="preserve"> (4 AAC 12.308</w:t>
      </w:r>
      <w:r w:rsidRPr="00B41397">
        <w:rPr>
          <w:rFonts w:ascii="Calibri" w:hAnsi="Calibri"/>
        </w:rPr>
        <w:t>) and the Alaska’s Beginning Teacher Standards (4 AAC 04.200)</w:t>
      </w:r>
      <w:r>
        <w:rPr>
          <w:rFonts w:ascii="Calibri" w:hAnsi="Calibri"/>
        </w:rPr>
        <w:t xml:space="preserve">. These regulations </w:t>
      </w:r>
      <w:r w:rsidRPr="00B41397">
        <w:rPr>
          <w:rFonts w:ascii="Calibri" w:hAnsi="Calibri"/>
        </w:rPr>
        <w:t xml:space="preserve">include the requirement that new educators are adequately prepared to meet the needs of low income and minority students. </w:t>
      </w:r>
      <w:r>
        <w:rPr>
          <w:rFonts w:ascii="Calibri" w:hAnsi="Calibri"/>
        </w:rPr>
        <w:t xml:space="preserve">Alaska has </w:t>
      </w:r>
      <w:r w:rsidRPr="00580013">
        <w:rPr>
          <w:rFonts w:ascii="Calibri" w:hAnsi="Calibri"/>
          <w:i/>
        </w:rPr>
        <w:t>Guidelines for Preparing Culturally Responsive Teachers for Alaska’s Schools</w:t>
      </w:r>
      <w:r>
        <w:rPr>
          <w:rFonts w:ascii="Calibri" w:hAnsi="Calibri"/>
        </w:rPr>
        <w:t xml:space="preserve">, published by the Alaska Native Knowledge Network, to help prepare new educators to meet the specific needs of Alaska Native students. </w:t>
      </w:r>
      <w:r w:rsidRPr="00B41397">
        <w:rPr>
          <w:rFonts w:ascii="Calibri" w:hAnsi="Calibri"/>
        </w:rPr>
        <w:t xml:space="preserve">Both initial program approval and the accreditation process require educator preparation programs </w:t>
      </w:r>
      <w:r>
        <w:rPr>
          <w:rFonts w:ascii="Calibri" w:hAnsi="Calibri"/>
        </w:rPr>
        <w:t xml:space="preserve">to </w:t>
      </w:r>
      <w:r w:rsidRPr="00B41397">
        <w:rPr>
          <w:rFonts w:ascii="Calibri" w:hAnsi="Calibri"/>
        </w:rPr>
        <w:t xml:space="preserve">show evidence that pre-service educators have ample opportunities for structured practice in a range of settings with diverse learners. </w:t>
      </w:r>
    </w:p>
    <w:p w14:paraId="1C8D9951" w14:textId="5DB6EE7B" w:rsidR="00B73A8F" w:rsidRDefault="00BA4A8C" w:rsidP="00580013">
      <w:pPr>
        <w:autoSpaceDE w:val="0"/>
        <w:autoSpaceDN w:val="0"/>
        <w:adjustRightInd w:val="0"/>
        <w:spacing w:after="160"/>
      </w:pPr>
      <w:r>
        <w:t>Alaska will continue to examine the internship component in Alaska’s teacher preparation programs. Recently, state regulations were updated to require a minimum of 600 internship hours over a 15 week period. Alaska’s universities have both traditional and post-baccalaureate routes. Many of these programs exceed the requirement with a year-long internship fully based in the school. Alaska is specifically interested in the expansion of internships in remote, rural schools. Rural districts indicate that this rural internship helps both the district and teacher candidates make more informed decisions when offering or accepting a job, which increases retention.</w:t>
      </w:r>
      <w:r w:rsidDel="007F510B">
        <w:t xml:space="preserve"> </w:t>
      </w:r>
    </w:p>
    <w:p w14:paraId="4DE7D959" w14:textId="77777777" w:rsidR="00B73A8F" w:rsidRDefault="00B73A8F">
      <w:pPr>
        <w:spacing w:after="160"/>
      </w:pPr>
      <w:r>
        <w:br w:type="page"/>
      </w:r>
    </w:p>
    <w:p w14:paraId="7C4C4C51" w14:textId="77777777" w:rsidR="00FC293A" w:rsidRPr="00A551DA" w:rsidRDefault="00FC293A" w:rsidP="00FC293A">
      <w:pPr>
        <w:pStyle w:val="Heading1"/>
      </w:pPr>
      <w:bookmarkStart w:id="13" w:name="_Toc6231630"/>
      <w:r w:rsidRPr="00A551DA">
        <w:lastRenderedPageBreak/>
        <w:t>E. Title III, Part A, Subpart 1, English Language Acquisition and Language Enhancement</w:t>
      </w:r>
      <w:bookmarkEnd w:id="13"/>
    </w:p>
    <w:p w14:paraId="054661E9" w14:textId="5DEA7E3A" w:rsidR="00B73A8F" w:rsidRDefault="00BA4A8C" w:rsidP="00B73A8F">
      <w:pPr>
        <w:pStyle w:val="Heading2"/>
        <w:numPr>
          <w:ilvl w:val="0"/>
          <w:numId w:val="99"/>
        </w:numPr>
      </w:pPr>
      <w:r w:rsidRPr="00A306F8">
        <w:t>Entrance and Exit Procedures</w:t>
      </w:r>
    </w:p>
    <w:p w14:paraId="223B0246" w14:textId="77777777" w:rsidR="000100FA" w:rsidRDefault="00BA4A8C" w:rsidP="000100FA">
      <w:pPr>
        <w:autoSpaceDE w:val="0"/>
        <w:autoSpaceDN w:val="0"/>
        <w:adjustRightInd w:val="0"/>
        <w:spacing w:after="0"/>
        <w:ind w:left="360"/>
        <w:rPr>
          <w:rFonts w:ascii="Calibri" w:hAnsi="Calibri" w:cs="Times New Roman"/>
          <w:i/>
          <w:iCs/>
          <w:color w:val="000000"/>
        </w:rPr>
      </w:pPr>
      <w:r w:rsidRPr="00A306F8">
        <w:rPr>
          <w:rFonts w:ascii="Calibri" w:hAnsi="Calibri" w:cs="Times New Roman"/>
          <w:i/>
          <w:iCs/>
          <w:color w:val="000000"/>
        </w:rPr>
        <w:t>(ESEA section 3113(b</w:t>
      </w:r>
      <w:proofErr w:type="gramStart"/>
      <w:r w:rsidRPr="00A306F8">
        <w:rPr>
          <w:rFonts w:ascii="Calibri" w:hAnsi="Calibri" w:cs="Times New Roman"/>
          <w:i/>
          <w:iCs/>
          <w:color w:val="000000"/>
        </w:rPr>
        <w:t>)(</w:t>
      </w:r>
      <w:proofErr w:type="gramEnd"/>
      <w:r w:rsidRPr="00A306F8">
        <w:rPr>
          <w:rFonts w:ascii="Calibri" w:hAnsi="Calibri" w:cs="Times New Roman"/>
          <w:i/>
          <w:iCs/>
          <w:color w:val="000000"/>
        </w:rPr>
        <w:t xml:space="preserve">2)): </w:t>
      </w:r>
    </w:p>
    <w:p w14:paraId="69F65CDC" w14:textId="7F8B68A8" w:rsidR="00BA4A8C" w:rsidRPr="00A306F8" w:rsidRDefault="00BA4A8C" w:rsidP="00B73A8F">
      <w:pPr>
        <w:autoSpaceDE w:val="0"/>
        <w:autoSpaceDN w:val="0"/>
        <w:adjustRightInd w:val="0"/>
        <w:ind w:left="360"/>
        <w:rPr>
          <w:rFonts w:ascii="Calibri" w:hAnsi="Calibri" w:cs="Times New Roman"/>
          <w:color w:val="000000"/>
        </w:rPr>
      </w:pPr>
      <w:r w:rsidRPr="00A306F8">
        <w:rPr>
          <w:rFonts w:ascii="Calibri" w:hAnsi="Calibri" w:cs="Times New Roman"/>
          <w:color w:val="000000"/>
        </w:rPr>
        <w:t xml:space="preserve">Describe how the SEA will establish and implement, with timely and meaningful consultation with LEAs representing the geographic diversity of the State, standardized, statewide entrance and exit procedures, including an assurance that all students who may be English learners are assessed for such status within 30 days of enrollment in a school in the State. </w:t>
      </w:r>
    </w:p>
    <w:p w14:paraId="0259FA8E" w14:textId="77777777" w:rsidR="00BA4A8C" w:rsidRPr="00063535" w:rsidRDefault="00BA4A8C" w:rsidP="00B73A8F">
      <w:r w:rsidRPr="00063535">
        <w:t xml:space="preserve">The Alaska Department of Education &amp; Early Development (DEED) established, through timely and meaningful consultation with Alaska LEAs representing the geographic diversity of the state, the standardized statewide entrance and exit procedures for identified English learners in the state. Before Alaska completed its first draft of the ESSA Consolidated State Plan, DEED met with the Title I Committee of Practitioners at DEED’s annual ESEA Federal Programs Workshop on April 18, 2017. The Committee of Practitioners (COP) acts in an advisory capacity to DEED in carrying out their responsibilities under Title I. Membership of this Committee includes representatives from local school districts, administrators, teachers, principals, parents, members of local school boards, private schools, and specialized instructional support personnel and paraprofessionals, and is structured to represent the geographic diversity of the state.  In addition to the COP members, a number of other district representatives were present at the meeting. The COP discussed topics including, but not limited to, statewide entrance and exit procedures for English learners. The COP was supportive of the changes proposed in the exit criteria. </w:t>
      </w:r>
    </w:p>
    <w:p w14:paraId="4F593F8B" w14:textId="77777777" w:rsidR="00BA4A8C" w:rsidRPr="00063535" w:rsidRDefault="00BA4A8C" w:rsidP="00B73A8F">
      <w:r w:rsidRPr="00063535">
        <w:t xml:space="preserve">In addition to the consultation with the COP, DEED gathered stakeholder input through each draft of Alaska’s Consolidated State Plan. DEED created ESSA feedback forms and encouraged stakeholders to comment on proposed revisions to statewide entrance and exit procedures at the time each draft was open for public comment. The feedback received indicated that the majority of the respondents were in favor of the proposal, and no changes were made to the proposed entrance and exit criteria as a result of stakeholder feedback. </w:t>
      </w:r>
    </w:p>
    <w:p w14:paraId="2AB63FC6" w14:textId="77777777" w:rsidR="00BA4A8C" w:rsidRPr="00A306F8" w:rsidRDefault="00BA4A8C" w:rsidP="00424E73">
      <w:pPr>
        <w:rPr>
          <w:rFonts w:cs="Arial"/>
          <w:b/>
        </w:rPr>
      </w:pPr>
      <w:r w:rsidRPr="00A306F8">
        <w:rPr>
          <w:rFonts w:cs="Arial"/>
          <w:b/>
        </w:rPr>
        <w:t>Entrance Procedures</w:t>
      </w:r>
    </w:p>
    <w:p w14:paraId="2CB95A89" w14:textId="77777777" w:rsidR="00BA4A8C" w:rsidRPr="00A306F8" w:rsidRDefault="00BA4A8C" w:rsidP="00BA1524">
      <w:pPr>
        <w:numPr>
          <w:ilvl w:val="0"/>
          <w:numId w:val="17"/>
        </w:numPr>
        <w:rPr>
          <w:rFonts w:cs="Arial"/>
        </w:rPr>
      </w:pPr>
      <w:r w:rsidRPr="00A306F8">
        <w:rPr>
          <w:rFonts w:cs="Arial"/>
        </w:rPr>
        <w:t>Determine which students might be identified as an English learner</w:t>
      </w:r>
      <w:r>
        <w:rPr>
          <w:rFonts w:cs="Arial"/>
        </w:rPr>
        <w:t xml:space="preserve"> (EL)</w:t>
      </w:r>
      <w:r w:rsidRPr="00A306F8">
        <w:rPr>
          <w:rFonts w:cs="Arial"/>
        </w:rPr>
        <w:t xml:space="preserve"> as defined in Alaska Regulation 4 AAC 34.090 (2) and ESEA as amended by ESSA section 8101(20)</w:t>
      </w:r>
      <w:r>
        <w:rPr>
          <w:rFonts w:cs="Arial"/>
        </w:rPr>
        <w:t>.</w:t>
      </w:r>
    </w:p>
    <w:p w14:paraId="5DD2F7CF" w14:textId="77777777" w:rsidR="00BA4A8C" w:rsidRPr="00A306F8" w:rsidRDefault="00BA4A8C" w:rsidP="00BA1524">
      <w:pPr>
        <w:numPr>
          <w:ilvl w:val="0"/>
          <w:numId w:val="17"/>
        </w:numPr>
        <w:rPr>
          <w:rFonts w:cs="Arial"/>
        </w:rPr>
      </w:pPr>
      <w:r w:rsidRPr="00A306F8">
        <w:rPr>
          <w:rFonts w:cs="Arial"/>
        </w:rPr>
        <w:t>Before a student is screened for English language proficiency</w:t>
      </w:r>
      <w:r>
        <w:rPr>
          <w:rFonts w:cs="Arial"/>
        </w:rPr>
        <w:t xml:space="preserve"> (ELP)</w:t>
      </w:r>
      <w:r w:rsidRPr="00A306F8">
        <w:rPr>
          <w:rFonts w:cs="Arial"/>
        </w:rPr>
        <w:t xml:space="preserve">, the district must determine if the student is included in one of the categories of students eligible to be identified </w:t>
      </w:r>
      <w:r>
        <w:rPr>
          <w:rFonts w:cs="Arial"/>
        </w:rPr>
        <w:t xml:space="preserve">as </w:t>
      </w:r>
      <w:r w:rsidRPr="00A306F8">
        <w:rPr>
          <w:rFonts w:cs="Arial"/>
        </w:rPr>
        <w:t>an English learner as defined</w:t>
      </w:r>
      <w:r>
        <w:rPr>
          <w:rFonts w:cs="Arial"/>
        </w:rPr>
        <w:t xml:space="preserve"> as:</w:t>
      </w:r>
    </w:p>
    <w:p w14:paraId="0179A954" w14:textId="77777777" w:rsidR="00BA4A8C" w:rsidRPr="00A306F8" w:rsidRDefault="00BA4A8C" w:rsidP="00BA1524">
      <w:pPr>
        <w:numPr>
          <w:ilvl w:val="1"/>
          <w:numId w:val="17"/>
        </w:numPr>
        <w:rPr>
          <w:rFonts w:cs="Arial"/>
        </w:rPr>
      </w:pPr>
      <w:r w:rsidRPr="00A306F8">
        <w:rPr>
          <w:rFonts w:cs="Arial"/>
        </w:rPr>
        <w:t>Student who is not born in the U</w:t>
      </w:r>
      <w:r>
        <w:rPr>
          <w:rFonts w:cs="Arial"/>
        </w:rPr>
        <w:t>nited States</w:t>
      </w:r>
      <w:r w:rsidRPr="00A306F8">
        <w:rPr>
          <w:rFonts w:cs="Arial"/>
        </w:rPr>
        <w:t xml:space="preserve"> or whose native language is a language other than English.</w:t>
      </w:r>
    </w:p>
    <w:p w14:paraId="3361A8EC" w14:textId="77777777" w:rsidR="00BA4A8C" w:rsidRPr="00A306F8" w:rsidRDefault="00BA4A8C" w:rsidP="00BA1524">
      <w:pPr>
        <w:numPr>
          <w:ilvl w:val="1"/>
          <w:numId w:val="17"/>
        </w:numPr>
        <w:rPr>
          <w:rFonts w:cs="Arial"/>
        </w:rPr>
      </w:pPr>
      <w:r w:rsidRPr="00A306F8">
        <w:rPr>
          <w:rFonts w:cs="Arial"/>
        </w:rPr>
        <w:t>American Indian, Alaska Native, or resident of the outlying areas where a language other than English has had a significant impact on the individual</w:t>
      </w:r>
      <w:r>
        <w:rPr>
          <w:rFonts w:cs="Arial"/>
        </w:rPr>
        <w:t>’s</w:t>
      </w:r>
      <w:r w:rsidRPr="00A306F8">
        <w:rPr>
          <w:rFonts w:cs="Arial"/>
        </w:rPr>
        <w:t xml:space="preserve"> level of English language proficiency</w:t>
      </w:r>
      <w:r>
        <w:rPr>
          <w:rFonts w:cs="Arial"/>
        </w:rPr>
        <w:t>.</w:t>
      </w:r>
    </w:p>
    <w:p w14:paraId="449A426C" w14:textId="77777777" w:rsidR="00BA4A8C" w:rsidRPr="00A306F8" w:rsidRDefault="00BA4A8C" w:rsidP="00BA1524">
      <w:pPr>
        <w:numPr>
          <w:ilvl w:val="0"/>
          <w:numId w:val="17"/>
        </w:numPr>
        <w:rPr>
          <w:rFonts w:cs="Arial"/>
        </w:rPr>
      </w:pPr>
      <w:r w:rsidRPr="00A306F8">
        <w:rPr>
          <w:rFonts w:cs="Arial"/>
        </w:rPr>
        <w:lastRenderedPageBreak/>
        <w:t xml:space="preserve">Parents of students </w:t>
      </w:r>
      <w:r>
        <w:rPr>
          <w:rFonts w:cs="Arial"/>
        </w:rPr>
        <w:t xml:space="preserve">who are eligible to be identified as an English learner </w:t>
      </w:r>
      <w:r w:rsidRPr="00A306F8">
        <w:rPr>
          <w:rFonts w:cs="Arial"/>
        </w:rPr>
        <w:t>complete a Home Language Su</w:t>
      </w:r>
      <w:r>
        <w:rPr>
          <w:rFonts w:cs="Arial"/>
        </w:rPr>
        <w:t>rvey to determine if a language other than English</w:t>
      </w:r>
      <w:r w:rsidRPr="00A306F8">
        <w:rPr>
          <w:rFonts w:cs="Arial"/>
        </w:rPr>
        <w:t xml:space="preserve"> has a significant impact on the student’s level of English language proficiency.</w:t>
      </w:r>
    </w:p>
    <w:p w14:paraId="6CF302A9" w14:textId="77777777" w:rsidR="00BA4A8C" w:rsidRPr="00A306F8" w:rsidRDefault="00BA4A8C" w:rsidP="00BA1524">
      <w:pPr>
        <w:numPr>
          <w:ilvl w:val="0"/>
          <w:numId w:val="17"/>
        </w:numPr>
        <w:rPr>
          <w:rFonts w:cs="Arial"/>
        </w:rPr>
      </w:pPr>
      <w:r w:rsidRPr="00A306F8">
        <w:rPr>
          <w:rFonts w:cs="Arial"/>
        </w:rPr>
        <w:t xml:space="preserve">Teacher observations should be taken into consideration in the identification process. The Language Observation Checklist may be used if the </w:t>
      </w:r>
      <w:r>
        <w:rPr>
          <w:rFonts w:cs="Arial"/>
        </w:rPr>
        <w:t xml:space="preserve">home </w:t>
      </w:r>
      <w:r w:rsidRPr="00A306F8">
        <w:rPr>
          <w:rFonts w:cs="Arial"/>
        </w:rPr>
        <w:t>language survey indicates that English is spoken at home</w:t>
      </w:r>
      <w:r>
        <w:rPr>
          <w:rFonts w:cs="Arial"/>
        </w:rPr>
        <w:t xml:space="preserve"> but the student meets the criteria for which a language other than English may have impacted the student’s level of English language proficiency</w:t>
      </w:r>
      <w:r w:rsidRPr="00A306F8">
        <w:rPr>
          <w:rFonts w:cs="Arial"/>
        </w:rPr>
        <w:t>.</w:t>
      </w:r>
    </w:p>
    <w:p w14:paraId="41B9F240" w14:textId="77777777" w:rsidR="00BA4A8C" w:rsidRPr="00D6756F" w:rsidRDefault="00BA4A8C" w:rsidP="00BA1524">
      <w:pPr>
        <w:numPr>
          <w:ilvl w:val="0"/>
          <w:numId w:val="17"/>
        </w:numPr>
        <w:rPr>
          <w:rFonts w:cs="Arial"/>
        </w:rPr>
      </w:pPr>
      <w:r w:rsidRPr="00A306F8">
        <w:rPr>
          <w:rFonts w:cs="Arial"/>
        </w:rPr>
        <w:t xml:space="preserve">Before a student is screened for English language proficiency, the district must determine if the student is included in one of the categories of students eligible to </w:t>
      </w:r>
      <w:r>
        <w:rPr>
          <w:rFonts w:cs="Arial"/>
        </w:rPr>
        <w:t>be identified as an English learner and the Home Language Survey or teacher observations indicate that the student’s level of English may not yet be proficient.</w:t>
      </w:r>
    </w:p>
    <w:p w14:paraId="158F479C" w14:textId="77777777" w:rsidR="00BA4A8C" w:rsidRPr="00A306F8" w:rsidRDefault="00BA4A8C" w:rsidP="00BA1524">
      <w:pPr>
        <w:numPr>
          <w:ilvl w:val="1"/>
          <w:numId w:val="17"/>
        </w:numPr>
        <w:rPr>
          <w:rFonts w:cs="Arial"/>
        </w:rPr>
      </w:pPr>
      <w:r w:rsidRPr="00A306F8">
        <w:rPr>
          <w:rFonts w:cs="Arial"/>
        </w:rPr>
        <w:t xml:space="preserve">Should a student fall into one of the above categories, the district must administer one of the </w:t>
      </w:r>
      <w:r>
        <w:rPr>
          <w:rFonts w:cs="Arial"/>
        </w:rPr>
        <w:t>S</w:t>
      </w:r>
      <w:r w:rsidRPr="00A306F8">
        <w:rPr>
          <w:rFonts w:cs="Arial"/>
        </w:rPr>
        <w:t xml:space="preserve">tate-approved ELP screening assessments (either the W-APT, WIDA Screener or the WIDA MODEL) to determine if the second part of the definition of an English learner student is met. </w:t>
      </w:r>
    </w:p>
    <w:p w14:paraId="34BAF4A7" w14:textId="77777777" w:rsidR="00BA4A8C" w:rsidRPr="00A306F8" w:rsidRDefault="00BA4A8C" w:rsidP="00BA1524">
      <w:pPr>
        <w:numPr>
          <w:ilvl w:val="2"/>
          <w:numId w:val="17"/>
        </w:numPr>
        <w:rPr>
          <w:rFonts w:cs="Arial"/>
        </w:rPr>
      </w:pPr>
      <w:r w:rsidRPr="00A306F8">
        <w:rPr>
          <w:rFonts w:cs="Arial"/>
        </w:rPr>
        <w:t xml:space="preserve">Students who fall below the minimum score </w:t>
      </w:r>
      <w:r>
        <w:rPr>
          <w:rFonts w:cs="Arial"/>
        </w:rPr>
        <w:t>are</w:t>
      </w:r>
      <w:r w:rsidRPr="00A306F8">
        <w:rPr>
          <w:rFonts w:cs="Arial"/>
        </w:rPr>
        <w:t xml:space="preserve"> identified as an English learner, are eligible for EL services, and must take the annual ELP assessment (ACCESS for ELLs 2.0) during the current school year.</w:t>
      </w:r>
    </w:p>
    <w:p w14:paraId="0348815D" w14:textId="77777777" w:rsidR="00BA4A8C" w:rsidRPr="00A306F8" w:rsidRDefault="00BA4A8C" w:rsidP="00BA1524">
      <w:pPr>
        <w:numPr>
          <w:ilvl w:val="3"/>
          <w:numId w:val="17"/>
        </w:numPr>
        <w:rPr>
          <w:rFonts w:cs="Arial"/>
        </w:rPr>
      </w:pPr>
      <w:r w:rsidRPr="00A306F8">
        <w:rPr>
          <w:rFonts w:cs="Arial"/>
        </w:rPr>
        <w:t xml:space="preserve">Students entering school March 1 or later that have not been identified may be screened, but are not required to take the ACCESS for ELLs 2.0 until the following spring. </w:t>
      </w:r>
    </w:p>
    <w:p w14:paraId="0F978655" w14:textId="77777777" w:rsidR="00BA4A8C" w:rsidRPr="00A306F8" w:rsidRDefault="00BA4A8C" w:rsidP="00BA1524">
      <w:pPr>
        <w:numPr>
          <w:ilvl w:val="2"/>
          <w:numId w:val="17"/>
        </w:numPr>
        <w:rPr>
          <w:rFonts w:cs="Arial"/>
        </w:rPr>
      </w:pPr>
      <w:r w:rsidRPr="00A306F8">
        <w:rPr>
          <w:rFonts w:cs="Arial"/>
        </w:rPr>
        <w:t xml:space="preserve">Students who score </w:t>
      </w:r>
      <w:r w:rsidRPr="00A306F8">
        <w:rPr>
          <w:rFonts w:cs="Arial"/>
          <w:b/>
        </w:rPr>
        <w:t>at or above</w:t>
      </w:r>
      <w:r w:rsidRPr="00A306F8">
        <w:rPr>
          <w:rFonts w:cs="Arial"/>
        </w:rPr>
        <w:t xml:space="preserve"> the minimum score f</w:t>
      </w:r>
      <w:r>
        <w:rPr>
          <w:rFonts w:cs="Arial"/>
        </w:rPr>
        <w:t xml:space="preserve">or English language proficiency are </w:t>
      </w:r>
      <w:r w:rsidRPr="00A306F8">
        <w:rPr>
          <w:rFonts w:cs="Arial"/>
        </w:rPr>
        <w:t>not identified as EL and are not required to be assessed further.</w:t>
      </w:r>
    </w:p>
    <w:p w14:paraId="4309318A" w14:textId="77777777" w:rsidR="00BA4A8C" w:rsidRPr="00A306F8" w:rsidRDefault="00BA4A8C" w:rsidP="00BA1524">
      <w:pPr>
        <w:numPr>
          <w:ilvl w:val="0"/>
          <w:numId w:val="17"/>
        </w:numPr>
        <w:rPr>
          <w:rFonts w:cs="Arial"/>
        </w:rPr>
      </w:pPr>
      <w:r w:rsidRPr="00A306F8">
        <w:rPr>
          <w:rFonts w:cs="Arial"/>
        </w:rPr>
        <w:t>Incoming kindergartners and older students new to the district from another state or country who are potentially English learners must be screened and identified as soon as possible after enrolling in school, and within 30 days after the beginning of the school year if enrolled at the beginning of the school year.</w:t>
      </w:r>
    </w:p>
    <w:p w14:paraId="6A27EDA1" w14:textId="77777777" w:rsidR="00BA4A8C" w:rsidRPr="00A306F8" w:rsidRDefault="00BA4A8C" w:rsidP="00424E73">
      <w:pPr>
        <w:rPr>
          <w:rFonts w:cs="Arial"/>
          <w:b/>
        </w:rPr>
      </w:pPr>
      <w:r w:rsidRPr="00A306F8">
        <w:rPr>
          <w:rFonts w:cs="Arial"/>
          <w:b/>
        </w:rPr>
        <w:t>Exit Procedures</w:t>
      </w:r>
    </w:p>
    <w:p w14:paraId="18D41BB9" w14:textId="77777777" w:rsidR="00BA4A8C" w:rsidRDefault="00BA4A8C" w:rsidP="00BA1524">
      <w:pPr>
        <w:numPr>
          <w:ilvl w:val="0"/>
          <w:numId w:val="17"/>
        </w:numPr>
        <w:rPr>
          <w:rFonts w:cs="Arial"/>
        </w:rPr>
      </w:pPr>
      <w:r w:rsidRPr="00A306F8">
        <w:rPr>
          <w:rFonts w:cs="Arial"/>
        </w:rPr>
        <w:t xml:space="preserve">A student </w:t>
      </w:r>
      <w:r>
        <w:rPr>
          <w:rFonts w:cs="Arial"/>
        </w:rPr>
        <w:t>will</w:t>
      </w:r>
      <w:r w:rsidRPr="00A306F8">
        <w:rPr>
          <w:rFonts w:cs="Arial"/>
        </w:rPr>
        <w:t xml:space="preserve"> be exited from EL status </w:t>
      </w:r>
      <w:r>
        <w:rPr>
          <w:rFonts w:cs="Arial"/>
        </w:rPr>
        <w:t xml:space="preserve">at the end of the school year in which the student meets the exit criteria based on scores earned on the ELP assessment taken in the spring of that school year. </w:t>
      </w:r>
    </w:p>
    <w:p w14:paraId="1C3840B5" w14:textId="77777777" w:rsidR="00BA4A8C" w:rsidRDefault="00BA4A8C" w:rsidP="00BA1524">
      <w:pPr>
        <w:numPr>
          <w:ilvl w:val="0"/>
          <w:numId w:val="17"/>
        </w:numPr>
        <w:rPr>
          <w:rFonts w:cs="Arial"/>
        </w:rPr>
      </w:pPr>
      <w:r>
        <w:rPr>
          <w:rFonts w:cs="Arial"/>
        </w:rPr>
        <w:t>Alaska’s exit criteria on the ACCESS for ELLs has been a minimum of 5.0 overall composite proficiency level score for all domains, and a minimum score of 4.0 for each domain (reading, writing, listening, and speaking). This exit criteria will remain in place for the 2016-2017 school year.</w:t>
      </w:r>
    </w:p>
    <w:p w14:paraId="35171195" w14:textId="77777777" w:rsidR="00BA4A8C" w:rsidRDefault="00BA4A8C" w:rsidP="00BA1524">
      <w:pPr>
        <w:numPr>
          <w:ilvl w:val="0"/>
          <w:numId w:val="17"/>
        </w:numPr>
        <w:rPr>
          <w:rFonts w:cs="Arial"/>
        </w:rPr>
      </w:pPr>
      <w:r>
        <w:rPr>
          <w:rFonts w:cs="Arial"/>
        </w:rPr>
        <w:t>Due to the change in scoring for the new ACCESS for ELLs 2.0 ELP assessment, Alaska will propose new exit criteria in state regulation to take effect for the 2017-2018 school year. The exit criteria under consideration are:</w:t>
      </w:r>
    </w:p>
    <w:p w14:paraId="510A52F3" w14:textId="77777777" w:rsidR="00BA4A8C" w:rsidRPr="00A306F8" w:rsidRDefault="00BA4A8C" w:rsidP="00BA1524">
      <w:pPr>
        <w:numPr>
          <w:ilvl w:val="2"/>
          <w:numId w:val="17"/>
        </w:numPr>
        <w:rPr>
          <w:rFonts w:cs="Arial"/>
        </w:rPr>
      </w:pPr>
      <w:r>
        <w:rPr>
          <w:rFonts w:cs="Arial"/>
        </w:rPr>
        <w:t>Minimum overall c</w:t>
      </w:r>
      <w:r w:rsidRPr="00A306F8">
        <w:rPr>
          <w:rFonts w:cs="Arial"/>
        </w:rPr>
        <w:t>omposite score of 4.5</w:t>
      </w:r>
    </w:p>
    <w:p w14:paraId="141D1B9B" w14:textId="77777777" w:rsidR="00BA4A8C" w:rsidRPr="00A306F8" w:rsidRDefault="00BA4A8C" w:rsidP="00BA1524">
      <w:pPr>
        <w:numPr>
          <w:ilvl w:val="2"/>
          <w:numId w:val="17"/>
        </w:numPr>
        <w:rPr>
          <w:rFonts w:cs="Arial"/>
        </w:rPr>
      </w:pPr>
      <w:r>
        <w:rPr>
          <w:rFonts w:cs="Arial"/>
        </w:rPr>
        <w:lastRenderedPageBreak/>
        <w:t>Minimum d</w:t>
      </w:r>
      <w:r w:rsidRPr="00A306F8">
        <w:rPr>
          <w:rFonts w:cs="Arial"/>
        </w:rPr>
        <w:t xml:space="preserve">omain </w:t>
      </w:r>
      <w:r>
        <w:rPr>
          <w:rFonts w:cs="Arial"/>
        </w:rPr>
        <w:t>s</w:t>
      </w:r>
      <w:r w:rsidRPr="00A306F8">
        <w:rPr>
          <w:rFonts w:cs="Arial"/>
        </w:rPr>
        <w:t>cores</w:t>
      </w:r>
    </w:p>
    <w:p w14:paraId="3BB8CF4B" w14:textId="77777777" w:rsidR="00BA4A8C" w:rsidRPr="00A306F8" w:rsidRDefault="00BA4A8C" w:rsidP="00BA1524">
      <w:pPr>
        <w:numPr>
          <w:ilvl w:val="3"/>
          <w:numId w:val="17"/>
        </w:numPr>
        <w:rPr>
          <w:rFonts w:cs="Arial"/>
        </w:rPr>
      </w:pPr>
      <w:r w:rsidRPr="00A306F8">
        <w:rPr>
          <w:rFonts w:cs="Arial"/>
        </w:rPr>
        <w:t>Reading 4.0</w:t>
      </w:r>
    </w:p>
    <w:p w14:paraId="3BF53CC0" w14:textId="77777777" w:rsidR="00BA4A8C" w:rsidRPr="00A306F8" w:rsidRDefault="00BA4A8C" w:rsidP="00BA1524">
      <w:pPr>
        <w:numPr>
          <w:ilvl w:val="3"/>
          <w:numId w:val="17"/>
        </w:numPr>
        <w:rPr>
          <w:rFonts w:cs="Arial"/>
        </w:rPr>
      </w:pPr>
      <w:r w:rsidRPr="00A306F8">
        <w:rPr>
          <w:rFonts w:cs="Arial"/>
        </w:rPr>
        <w:t>Writing 3.8</w:t>
      </w:r>
    </w:p>
    <w:p w14:paraId="4A2856AF" w14:textId="77777777" w:rsidR="00BA4A8C" w:rsidRPr="00A306F8" w:rsidRDefault="00BA4A8C" w:rsidP="00BA1524">
      <w:pPr>
        <w:numPr>
          <w:ilvl w:val="3"/>
          <w:numId w:val="17"/>
        </w:numPr>
        <w:rPr>
          <w:rFonts w:cs="Arial"/>
        </w:rPr>
      </w:pPr>
      <w:r w:rsidRPr="00A306F8">
        <w:rPr>
          <w:rFonts w:cs="Arial"/>
        </w:rPr>
        <w:t>Speaking 4.0</w:t>
      </w:r>
    </w:p>
    <w:p w14:paraId="0892559D" w14:textId="77777777" w:rsidR="00BA4A8C" w:rsidRPr="00A306F8" w:rsidRDefault="00BA4A8C" w:rsidP="00BA1524">
      <w:pPr>
        <w:numPr>
          <w:ilvl w:val="3"/>
          <w:numId w:val="17"/>
        </w:numPr>
        <w:rPr>
          <w:rFonts w:cs="Arial"/>
        </w:rPr>
      </w:pPr>
      <w:r w:rsidRPr="00A306F8">
        <w:rPr>
          <w:rFonts w:cs="Arial"/>
        </w:rPr>
        <w:t>Listening 4.0</w:t>
      </w:r>
    </w:p>
    <w:p w14:paraId="70EB19EF" w14:textId="77777777" w:rsidR="00BA4A8C" w:rsidRPr="00A306F8" w:rsidRDefault="00BA4A8C" w:rsidP="00BA1524">
      <w:pPr>
        <w:numPr>
          <w:ilvl w:val="0"/>
          <w:numId w:val="17"/>
        </w:numPr>
        <w:rPr>
          <w:rFonts w:cs="Arial"/>
        </w:rPr>
      </w:pPr>
      <w:r w:rsidRPr="00A306F8">
        <w:rPr>
          <w:rFonts w:cs="Arial"/>
        </w:rPr>
        <w:t xml:space="preserve">After meeting exit criteria, a former EL student will be in monitoring status for </w:t>
      </w:r>
      <w:r>
        <w:rPr>
          <w:rFonts w:cs="Arial"/>
        </w:rPr>
        <w:t>four</w:t>
      </w:r>
      <w:r w:rsidRPr="00A306F8">
        <w:rPr>
          <w:rFonts w:cs="Arial"/>
        </w:rPr>
        <w:t xml:space="preserve"> years.</w:t>
      </w:r>
    </w:p>
    <w:p w14:paraId="064EE4FB" w14:textId="77777777" w:rsidR="00BA4A8C" w:rsidRPr="00DB3869" w:rsidRDefault="00BA4A8C" w:rsidP="00BA1524">
      <w:pPr>
        <w:numPr>
          <w:ilvl w:val="0"/>
          <w:numId w:val="17"/>
        </w:numPr>
        <w:rPr>
          <w:rFonts w:ascii="Calibri" w:hAnsi="Calibri"/>
        </w:rPr>
      </w:pPr>
      <w:r>
        <w:rPr>
          <w:rFonts w:cs="Arial"/>
        </w:rPr>
        <w:t xml:space="preserve">During the monitoring period of a former EL student, if the student continues to struggle academically after one semester of exit from EL status, the school may consider whether the student should be re-identified as an English learner. Before re-identifying the student as an EL, the school must administer a state-approved screener. If the results of the screener indicate that the student is not fully proficient in English, the student may be re-identified as an English learner. </w:t>
      </w:r>
    </w:p>
    <w:p w14:paraId="2F23610A" w14:textId="2F5908EC" w:rsidR="00777634" w:rsidRPr="00777634" w:rsidRDefault="00BA4A8C" w:rsidP="00777634">
      <w:pPr>
        <w:pStyle w:val="Heading2"/>
        <w:numPr>
          <w:ilvl w:val="0"/>
          <w:numId w:val="99"/>
        </w:numPr>
      </w:pPr>
      <w:r w:rsidRPr="00A306F8">
        <w:t>SEA Support for English Learner Progress</w:t>
      </w:r>
    </w:p>
    <w:p w14:paraId="43FC68C5" w14:textId="7DB54BA1" w:rsidR="00BA4A8C" w:rsidRPr="00A306F8" w:rsidRDefault="00BA4A8C" w:rsidP="00777634">
      <w:pPr>
        <w:autoSpaceDE w:val="0"/>
        <w:autoSpaceDN w:val="0"/>
        <w:adjustRightInd w:val="0"/>
        <w:ind w:left="360"/>
        <w:rPr>
          <w:rFonts w:ascii="Calibri" w:hAnsi="Calibri" w:cs="Times New Roman"/>
          <w:color w:val="000000"/>
        </w:rPr>
      </w:pPr>
      <w:r w:rsidRPr="00A306F8">
        <w:rPr>
          <w:rFonts w:ascii="Calibri" w:hAnsi="Calibri" w:cs="Times New Roman"/>
          <w:i/>
          <w:iCs/>
          <w:color w:val="000000"/>
        </w:rPr>
        <w:t>(ESEA section 3113(b</w:t>
      </w:r>
      <w:proofErr w:type="gramStart"/>
      <w:r w:rsidRPr="00A306F8">
        <w:rPr>
          <w:rFonts w:ascii="Calibri" w:hAnsi="Calibri" w:cs="Times New Roman"/>
          <w:i/>
          <w:iCs/>
          <w:color w:val="000000"/>
        </w:rPr>
        <w:t>)(</w:t>
      </w:r>
      <w:proofErr w:type="gramEnd"/>
      <w:r w:rsidRPr="00A306F8">
        <w:rPr>
          <w:rFonts w:ascii="Calibri" w:hAnsi="Calibri" w:cs="Times New Roman"/>
          <w:i/>
          <w:iCs/>
          <w:color w:val="000000"/>
        </w:rPr>
        <w:t>6))</w:t>
      </w:r>
      <w:r w:rsidRPr="00A306F8">
        <w:rPr>
          <w:rFonts w:ascii="Calibri" w:hAnsi="Calibri" w:cs="Times New Roman"/>
          <w:color w:val="000000"/>
        </w:rPr>
        <w:t xml:space="preserve">: Describe how the SEA will assist eligible entities in meeting: </w:t>
      </w:r>
    </w:p>
    <w:p w14:paraId="454C38CA" w14:textId="77777777" w:rsidR="00BA4A8C" w:rsidRPr="00A306F8" w:rsidRDefault="00BA4A8C" w:rsidP="00777634">
      <w:pPr>
        <w:numPr>
          <w:ilvl w:val="1"/>
          <w:numId w:val="16"/>
        </w:numPr>
        <w:autoSpaceDE w:val="0"/>
        <w:autoSpaceDN w:val="0"/>
        <w:adjustRightInd w:val="0"/>
        <w:spacing w:after="23"/>
        <w:ind w:left="1080" w:hanging="360"/>
        <w:rPr>
          <w:rFonts w:ascii="Calibri" w:hAnsi="Calibri" w:cs="Times New Roman"/>
          <w:color w:val="000000"/>
        </w:rPr>
      </w:pPr>
      <w:r w:rsidRPr="00A306F8">
        <w:rPr>
          <w:rFonts w:ascii="Calibri" w:hAnsi="Calibri" w:cs="Times New Roman"/>
          <w:color w:val="000000"/>
        </w:rPr>
        <w:t xml:space="preserve">The State-designed long-term goals established under ESEA section 1111(c)(4)(A)(ii), including measurements of interim progress towards meeting such goals, based on the State’s English language proficiency assessments under ESEA section 1111(b)(2)(G); and </w:t>
      </w:r>
    </w:p>
    <w:p w14:paraId="182B7474" w14:textId="77777777" w:rsidR="00BA4A8C" w:rsidRPr="00A306F8" w:rsidRDefault="00BA4A8C" w:rsidP="00777634">
      <w:pPr>
        <w:numPr>
          <w:ilvl w:val="1"/>
          <w:numId w:val="16"/>
        </w:numPr>
        <w:autoSpaceDE w:val="0"/>
        <w:autoSpaceDN w:val="0"/>
        <w:adjustRightInd w:val="0"/>
        <w:ind w:left="1080" w:hanging="360"/>
        <w:rPr>
          <w:rFonts w:ascii="Calibri" w:hAnsi="Calibri" w:cs="Times New Roman"/>
          <w:color w:val="000000"/>
        </w:rPr>
      </w:pPr>
      <w:r w:rsidRPr="00A306F8">
        <w:rPr>
          <w:rFonts w:ascii="Calibri" w:hAnsi="Calibri" w:cs="Times New Roman"/>
          <w:color w:val="000000"/>
        </w:rPr>
        <w:t xml:space="preserve">The challenging State academic standards. </w:t>
      </w:r>
    </w:p>
    <w:p w14:paraId="0753EFAD" w14:textId="77777777" w:rsidR="00BA4A8C" w:rsidRPr="00A306F8" w:rsidRDefault="00BA4A8C" w:rsidP="00424E73">
      <w:pPr>
        <w:rPr>
          <w:rFonts w:ascii="Calibri" w:hAnsi="Calibri"/>
        </w:rPr>
      </w:pPr>
      <w:r w:rsidRPr="00A306F8">
        <w:rPr>
          <w:rFonts w:ascii="Calibri" w:hAnsi="Calibri"/>
        </w:rPr>
        <w:t>To help districts and schools meet State-designed long</w:t>
      </w:r>
      <w:r>
        <w:rPr>
          <w:rFonts w:ascii="Calibri" w:hAnsi="Calibri"/>
        </w:rPr>
        <w:t>-</w:t>
      </w:r>
      <w:r w:rsidRPr="00A306F8">
        <w:rPr>
          <w:rFonts w:ascii="Calibri" w:hAnsi="Calibri"/>
        </w:rPr>
        <w:t>term goals</w:t>
      </w:r>
      <w:r>
        <w:rPr>
          <w:rFonts w:ascii="Calibri" w:hAnsi="Calibri"/>
        </w:rPr>
        <w:t xml:space="preserve"> and challenging academic standards</w:t>
      </w:r>
      <w:r w:rsidRPr="00A306F8">
        <w:rPr>
          <w:rFonts w:ascii="Calibri" w:hAnsi="Calibri"/>
        </w:rPr>
        <w:t>, DEED</w:t>
      </w:r>
      <w:r>
        <w:rPr>
          <w:rFonts w:ascii="Calibri" w:hAnsi="Calibri"/>
        </w:rPr>
        <w:t xml:space="preserve"> provides technical assistance and support on English language proficiency standards and professional development support for instruction of English learners both in learning English and in achieving academically. Alaska adopted the WIDA English Language Development Standards as the state’s English language proficiency standards in 2011, and uses the WIDA ACCESS for ELLs as its English Language Proficiency assessment. Alaska also has access to professional development resources through the WIDA Consortium. The </w:t>
      </w:r>
      <w:r w:rsidRPr="00A306F8">
        <w:rPr>
          <w:rFonts w:ascii="Calibri" w:hAnsi="Calibri"/>
        </w:rPr>
        <w:t>WIDA English Language Development Standards and materials provide a research</w:t>
      </w:r>
      <w:r>
        <w:rPr>
          <w:rFonts w:ascii="Calibri" w:hAnsi="Calibri"/>
        </w:rPr>
        <w:t>-</w:t>
      </w:r>
      <w:r w:rsidRPr="00A306F8">
        <w:rPr>
          <w:rFonts w:ascii="Calibri" w:hAnsi="Calibri"/>
        </w:rPr>
        <w:t xml:space="preserve">based framework for English language instruction. This framework also aligns to Alaska’s challenging academic standards by integrating language development with the appropriate academic content matter. </w:t>
      </w:r>
    </w:p>
    <w:p w14:paraId="3F297295" w14:textId="77777777" w:rsidR="00BA4A8C" w:rsidRDefault="00BA4A8C" w:rsidP="00424E73">
      <w:pPr>
        <w:rPr>
          <w:rFonts w:ascii="Calibri" w:hAnsi="Calibri"/>
        </w:rPr>
      </w:pPr>
      <w:r>
        <w:rPr>
          <w:rFonts w:ascii="Calibri" w:hAnsi="Calibri"/>
        </w:rPr>
        <w:t xml:space="preserve">DEED offers training opportunities to Title III districts annually. These are most often WIDA-sponsored or other professional development opportunities that focus on instructional strategies </w:t>
      </w:r>
      <w:r w:rsidRPr="00A306F8">
        <w:rPr>
          <w:rFonts w:ascii="Calibri" w:hAnsi="Calibri"/>
        </w:rPr>
        <w:t xml:space="preserve">that specifically address the needs of ELs and intentionally support the WIDA English </w:t>
      </w:r>
      <w:r>
        <w:rPr>
          <w:rFonts w:ascii="Calibri" w:hAnsi="Calibri"/>
        </w:rPr>
        <w:t xml:space="preserve">Language Development Standards. Districts may choose to participate in specific opportunities based on their needs. DEED also works with Title III districts to co-sponsor professional development or encourages Title III districts to offer the opportunity for staff from other Title III districts to participate in their EL training. </w:t>
      </w:r>
    </w:p>
    <w:p w14:paraId="6B8D3718" w14:textId="77777777" w:rsidR="00BA4A8C" w:rsidRDefault="00BA4A8C" w:rsidP="00424E73">
      <w:pPr>
        <w:rPr>
          <w:rFonts w:ascii="Calibri" w:hAnsi="Calibri"/>
        </w:rPr>
      </w:pPr>
      <w:r>
        <w:rPr>
          <w:rFonts w:ascii="Calibri" w:hAnsi="Calibri"/>
        </w:rPr>
        <w:t>DEED provides guidance to schools regarding English learners for the administration of the Alaska Developmental Profile (ADP), Alaska’s Kindergarten Readiness tool.  DEED also provides guidance in the use of the results of the ADP for EL students.</w:t>
      </w:r>
    </w:p>
    <w:p w14:paraId="225CA0D4" w14:textId="77777777" w:rsidR="00BA4A8C" w:rsidRDefault="00BA4A8C" w:rsidP="00424E73">
      <w:pPr>
        <w:rPr>
          <w:rFonts w:ascii="Calibri" w:hAnsi="Calibri"/>
        </w:rPr>
      </w:pPr>
      <w:r>
        <w:rPr>
          <w:rFonts w:ascii="Calibri" w:hAnsi="Calibri"/>
        </w:rPr>
        <w:t xml:space="preserve">DEED will develop strategies to provide guidance to LEAs on how to target and provide inclusive family involvement to meet the needs of EL students. Strategies could include building family engagement in </w:t>
      </w:r>
      <w:r>
        <w:rPr>
          <w:rFonts w:ascii="Calibri" w:hAnsi="Calibri"/>
        </w:rPr>
        <w:lastRenderedPageBreak/>
        <w:t>screening and assessment tools, and development of activities that are geared towards meeting the needs of families.</w:t>
      </w:r>
    </w:p>
    <w:p w14:paraId="6CA155C2" w14:textId="50319AB8" w:rsidR="00777634" w:rsidRDefault="00BA4A8C" w:rsidP="00777634">
      <w:pPr>
        <w:pStyle w:val="Heading2"/>
        <w:numPr>
          <w:ilvl w:val="0"/>
          <w:numId w:val="99"/>
        </w:numPr>
      </w:pPr>
      <w:r w:rsidRPr="00A306F8">
        <w:t>Monitoring and Technical Assistance</w:t>
      </w:r>
    </w:p>
    <w:p w14:paraId="5554D8E1" w14:textId="65403E42" w:rsidR="00BA4A8C" w:rsidRPr="00A306F8" w:rsidRDefault="00BA4A8C" w:rsidP="00777634">
      <w:pPr>
        <w:autoSpaceDE w:val="0"/>
        <w:autoSpaceDN w:val="0"/>
        <w:adjustRightInd w:val="0"/>
        <w:ind w:left="360"/>
        <w:rPr>
          <w:rFonts w:ascii="Calibri" w:hAnsi="Calibri" w:cs="Times New Roman"/>
          <w:color w:val="000000"/>
        </w:rPr>
      </w:pPr>
      <w:r w:rsidRPr="00A306F8">
        <w:rPr>
          <w:rFonts w:ascii="Calibri" w:hAnsi="Calibri" w:cs="Times New Roman"/>
          <w:i/>
          <w:iCs/>
          <w:color w:val="000000"/>
        </w:rPr>
        <w:t>(ESEA section 3113(b</w:t>
      </w:r>
      <w:proofErr w:type="gramStart"/>
      <w:r w:rsidRPr="00A306F8">
        <w:rPr>
          <w:rFonts w:ascii="Calibri" w:hAnsi="Calibri" w:cs="Times New Roman"/>
          <w:i/>
          <w:iCs/>
          <w:color w:val="000000"/>
        </w:rPr>
        <w:t>)(</w:t>
      </w:r>
      <w:proofErr w:type="gramEnd"/>
      <w:r w:rsidRPr="00A306F8">
        <w:rPr>
          <w:rFonts w:ascii="Calibri" w:hAnsi="Calibri" w:cs="Times New Roman"/>
          <w:i/>
          <w:iCs/>
          <w:color w:val="000000"/>
        </w:rPr>
        <w:t>8))</w:t>
      </w:r>
      <w:r w:rsidRPr="00A306F8">
        <w:rPr>
          <w:rFonts w:ascii="Calibri" w:hAnsi="Calibri" w:cs="Times New Roman"/>
          <w:color w:val="000000"/>
        </w:rPr>
        <w:t xml:space="preserve">: Describe: </w:t>
      </w:r>
    </w:p>
    <w:p w14:paraId="4D090000" w14:textId="77777777" w:rsidR="00777634" w:rsidRDefault="00BA4A8C" w:rsidP="00777634">
      <w:pPr>
        <w:pStyle w:val="ListParagraph"/>
        <w:numPr>
          <w:ilvl w:val="2"/>
          <w:numId w:val="56"/>
        </w:numPr>
        <w:autoSpaceDE w:val="0"/>
        <w:autoSpaceDN w:val="0"/>
        <w:adjustRightInd w:val="0"/>
        <w:spacing w:after="21"/>
        <w:ind w:left="1080" w:hanging="360"/>
        <w:rPr>
          <w:rFonts w:ascii="Calibri" w:hAnsi="Calibri" w:cs="Times New Roman"/>
          <w:color w:val="000000"/>
        </w:rPr>
      </w:pPr>
      <w:r w:rsidRPr="00777634">
        <w:rPr>
          <w:rFonts w:ascii="Calibri" w:hAnsi="Calibri" w:cs="Times New Roman"/>
          <w:color w:val="000000"/>
        </w:rPr>
        <w:t xml:space="preserve">How the SEA will monitor the progress of each eligible entity receiving a Title III, Part A </w:t>
      </w:r>
      <w:proofErr w:type="spellStart"/>
      <w:r w:rsidRPr="00777634">
        <w:rPr>
          <w:rFonts w:ascii="Calibri" w:hAnsi="Calibri" w:cs="Times New Roman"/>
          <w:color w:val="000000"/>
        </w:rPr>
        <w:t>subgrant</w:t>
      </w:r>
      <w:proofErr w:type="spellEnd"/>
      <w:r w:rsidRPr="00777634">
        <w:rPr>
          <w:rFonts w:ascii="Calibri" w:hAnsi="Calibri" w:cs="Times New Roman"/>
          <w:color w:val="000000"/>
        </w:rPr>
        <w:t xml:space="preserve"> in helping English learners achieve English proficiency; and </w:t>
      </w:r>
    </w:p>
    <w:p w14:paraId="2F952558" w14:textId="64AC9CD2" w:rsidR="00BA4A8C" w:rsidRPr="00777634" w:rsidRDefault="00BA4A8C" w:rsidP="00777634">
      <w:pPr>
        <w:pStyle w:val="ListParagraph"/>
        <w:numPr>
          <w:ilvl w:val="2"/>
          <w:numId w:val="56"/>
        </w:numPr>
        <w:autoSpaceDE w:val="0"/>
        <w:autoSpaceDN w:val="0"/>
        <w:adjustRightInd w:val="0"/>
        <w:spacing w:after="21"/>
        <w:ind w:left="1080" w:hanging="360"/>
        <w:rPr>
          <w:rFonts w:ascii="Calibri" w:hAnsi="Calibri" w:cs="Times New Roman"/>
          <w:color w:val="000000"/>
        </w:rPr>
      </w:pPr>
      <w:r w:rsidRPr="00777634">
        <w:rPr>
          <w:rFonts w:ascii="Calibri" w:hAnsi="Calibri" w:cs="Times New Roman"/>
          <w:color w:val="000000"/>
        </w:rPr>
        <w:t xml:space="preserve">The steps the SEA will take to further assist eligible entities if the strategies funded under Title III, Part A are not effective, such as providing technical assistance and modifying such strategies. </w:t>
      </w:r>
    </w:p>
    <w:p w14:paraId="62E3DA12" w14:textId="77777777" w:rsidR="00BA4A8C" w:rsidRPr="00A306F8" w:rsidRDefault="00BA4A8C" w:rsidP="00424E73">
      <w:pPr>
        <w:rPr>
          <w:rFonts w:ascii="Calibri" w:hAnsi="Calibri"/>
        </w:rPr>
      </w:pPr>
      <w:r w:rsidRPr="00A306F8">
        <w:rPr>
          <w:rFonts w:ascii="Calibri" w:hAnsi="Calibri"/>
        </w:rPr>
        <w:t xml:space="preserve">The DEED Title III-A program </w:t>
      </w:r>
      <w:r>
        <w:rPr>
          <w:rFonts w:ascii="Calibri" w:hAnsi="Calibri"/>
        </w:rPr>
        <w:t xml:space="preserve">specialist </w:t>
      </w:r>
      <w:r w:rsidRPr="00A306F8">
        <w:rPr>
          <w:rFonts w:ascii="Calibri" w:hAnsi="Calibri"/>
        </w:rPr>
        <w:t xml:space="preserve">is responsible for </w:t>
      </w:r>
      <w:r>
        <w:rPr>
          <w:rFonts w:ascii="Calibri" w:hAnsi="Calibri"/>
        </w:rPr>
        <w:t xml:space="preserve">monitoring the progress of districts receiving a Title III-A </w:t>
      </w:r>
      <w:proofErr w:type="spellStart"/>
      <w:r>
        <w:rPr>
          <w:rFonts w:ascii="Calibri" w:hAnsi="Calibri"/>
        </w:rPr>
        <w:t>subgrant</w:t>
      </w:r>
      <w:proofErr w:type="spellEnd"/>
      <w:r>
        <w:rPr>
          <w:rFonts w:ascii="Calibri" w:hAnsi="Calibri"/>
        </w:rPr>
        <w:t xml:space="preserve">. Monitoring and technical assistance strategies include: </w:t>
      </w:r>
    </w:p>
    <w:p w14:paraId="5A31C8F1" w14:textId="77777777" w:rsidR="00BA4A8C" w:rsidRDefault="00BA4A8C" w:rsidP="00BA1524">
      <w:pPr>
        <w:numPr>
          <w:ilvl w:val="0"/>
          <w:numId w:val="18"/>
        </w:numPr>
        <w:rPr>
          <w:rFonts w:ascii="Calibri" w:hAnsi="Calibri"/>
        </w:rPr>
      </w:pPr>
      <w:r>
        <w:rPr>
          <w:rFonts w:ascii="Calibri" w:hAnsi="Calibri"/>
        </w:rPr>
        <w:t>Review of Title III-A grant applications as part of the consolidated online federal grants application.</w:t>
      </w:r>
    </w:p>
    <w:p w14:paraId="42F6AEAD" w14:textId="77777777" w:rsidR="00BA4A8C" w:rsidRDefault="00BA4A8C" w:rsidP="00BA1524">
      <w:pPr>
        <w:numPr>
          <w:ilvl w:val="0"/>
          <w:numId w:val="18"/>
        </w:numPr>
        <w:rPr>
          <w:rFonts w:ascii="Calibri" w:hAnsi="Calibri"/>
        </w:rPr>
      </w:pPr>
      <w:r>
        <w:rPr>
          <w:rFonts w:ascii="Calibri" w:hAnsi="Calibri"/>
        </w:rPr>
        <w:t>Review of district data and school level data on the percentage of ELs that are making progress and attaining proficiency.</w:t>
      </w:r>
    </w:p>
    <w:p w14:paraId="0C97F69F" w14:textId="77777777" w:rsidR="00BA4A8C" w:rsidRPr="00A306F8" w:rsidRDefault="00BA4A8C" w:rsidP="00BA1524">
      <w:pPr>
        <w:numPr>
          <w:ilvl w:val="0"/>
          <w:numId w:val="18"/>
        </w:numPr>
        <w:rPr>
          <w:rFonts w:ascii="Calibri" w:hAnsi="Calibri"/>
        </w:rPr>
      </w:pPr>
      <w:r w:rsidRPr="00A306F8">
        <w:rPr>
          <w:rFonts w:ascii="Calibri" w:hAnsi="Calibri"/>
        </w:rPr>
        <w:t>Monitor</w:t>
      </w:r>
      <w:r>
        <w:rPr>
          <w:rFonts w:ascii="Calibri" w:hAnsi="Calibri"/>
        </w:rPr>
        <w:t xml:space="preserve">ing Title III-A with other </w:t>
      </w:r>
      <w:r w:rsidRPr="00A306F8">
        <w:rPr>
          <w:rFonts w:ascii="Calibri" w:hAnsi="Calibri"/>
        </w:rPr>
        <w:t>federal</w:t>
      </w:r>
      <w:r>
        <w:rPr>
          <w:rFonts w:ascii="Calibri" w:hAnsi="Calibri"/>
        </w:rPr>
        <w:t>ly-</w:t>
      </w:r>
      <w:r w:rsidRPr="00A306F8">
        <w:rPr>
          <w:rFonts w:ascii="Calibri" w:hAnsi="Calibri"/>
        </w:rPr>
        <w:t>funded programs and provid</w:t>
      </w:r>
      <w:r>
        <w:rPr>
          <w:rFonts w:ascii="Calibri" w:hAnsi="Calibri"/>
        </w:rPr>
        <w:t>ing</w:t>
      </w:r>
      <w:r w:rsidRPr="00A306F8">
        <w:rPr>
          <w:rFonts w:ascii="Calibri" w:hAnsi="Calibri"/>
        </w:rPr>
        <w:t xml:space="preserve"> technical assistance that address outcomes and accountability.</w:t>
      </w:r>
    </w:p>
    <w:p w14:paraId="3CDCE816" w14:textId="77777777" w:rsidR="00BA4A8C" w:rsidRPr="00A306F8" w:rsidRDefault="00BA4A8C" w:rsidP="00BA1524">
      <w:pPr>
        <w:numPr>
          <w:ilvl w:val="1"/>
          <w:numId w:val="18"/>
        </w:numPr>
        <w:rPr>
          <w:rFonts w:ascii="Calibri" w:hAnsi="Calibri"/>
        </w:rPr>
      </w:pPr>
      <w:r w:rsidRPr="00A306F8">
        <w:rPr>
          <w:rFonts w:ascii="Calibri" w:hAnsi="Calibri"/>
        </w:rPr>
        <w:t xml:space="preserve">DEED formally monitors </w:t>
      </w:r>
      <w:r>
        <w:rPr>
          <w:rFonts w:ascii="Calibri" w:hAnsi="Calibri"/>
        </w:rPr>
        <w:t>district</w:t>
      </w:r>
      <w:r w:rsidRPr="00A306F8">
        <w:rPr>
          <w:rFonts w:ascii="Calibri" w:hAnsi="Calibri"/>
        </w:rPr>
        <w:t>s on a five</w:t>
      </w:r>
      <w:r>
        <w:rPr>
          <w:rFonts w:ascii="Calibri" w:hAnsi="Calibri"/>
        </w:rPr>
        <w:t>-</w:t>
      </w:r>
      <w:r w:rsidRPr="00A306F8">
        <w:rPr>
          <w:rFonts w:ascii="Calibri" w:hAnsi="Calibri"/>
        </w:rPr>
        <w:t xml:space="preserve">year cycle. Desk audits are performed as needed </w:t>
      </w:r>
      <w:r>
        <w:rPr>
          <w:rFonts w:ascii="Calibri" w:hAnsi="Calibri"/>
        </w:rPr>
        <w:t xml:space="preserve">and are </w:t>
      </w:r>
      <w:r w:rsidRPr="00A306F8">
        <w:rPr>
          <w:rFonts w:ascii="Calibri" w:hAnsi="Calibri"/>
        </w:rPr>
        <w:t xml:space="preserve">determined by a risk assessment process. </w:t>
      </w:r>
    </w:p>
    <w:p w14:paraId="01C061EC" w14:textId="77777777" w:rsidR="00BA4A8C" w:rsidRPr="00A306F8" w:rsidRDefault="00BA4A8C" w:rsidP="00BA1524">
      <w:pPr>
        <w:numPr>
          <w:ilvl w:val="0"/>
          <w:numId w:val="18"/>
        </w:numPr>
        <w:rPr>
          <w:rFonts w:ascii="Calibri" w:hAnsi="Calibri"/>
        </w:rPr>
      </w:pPr>
      <w:r w:rsidRPr="00A306F8">
        <w:rPr>
          <w:rFonts w:ascii="Calibri" w:hAnsi="Calibri"/>
        </w:rPr>
        <w:t>Recommends policies that promote best practices for meeting the needs of English learners.</w:t>
      </w:r>
    </w:p>
    <w:p w14:paraId="4C794A9D" w14:textId="77777777" w:rsidR="00BA4A8C" w:rsidRPr="00A306F8" w:rsidRDefault="00BA4A8C" w:rsidP="00BA1524">
      <w:pPr>
        <w:numPr>
          <w:ilvl w:val="1"/>
          <w:numId w:val="18"/>
        </w:numPr>
        <w:rPr>
          <w:rFonts w:ascii="Calibri" w:hAnsi="Calibri"/>
        </w:rPr>
      </w:pPr>
      <w:r w:rsidRPr="00A306F8">
        <w:rPr>
          <w:rFonts w:ascii="Calibri" w:hAnsi="Calibri"/>
        </w:rPr>
        <w:t xml:space="preserve">Districts with more than </w:t>
      </w:r>
      <w:r>
        <w:rPr>
          <w:rFonts w:ascii="Calibri" w:hAnsi="Calibri"/>
        </w:rPr>
        <w:t>eight</w:t>
      </w:r>
      <w:r w:rsidRPr="00A306F8">
        <w:rPr>
          <w:rFonts w:ascii="Calibri" w:hAnsi="Calibri"/>
        </w:rPr>
        <w:t xml:space="preserve"> English learners are required to submit a Plan of Service outlining the identification and exit procedures for ELs as well as details regarding how the </w:t>
      </w:r>
      <w:r>
        <w:rPr>
          <w:rFonts w:ascii="Calibri" w:hAnsi="Calibri"/>
        </w:rPr>
        <w:t>district</w:t>
      </w:r>
      <w:r w:rsidRPr="00A306F8">
        <w:rPr>
          <w:rFonts w:ascii="Calibri" w:hAnsi="Calibri"/>
        </w:rPr>
        <w:t xml:space="preserve"> determines the needs of their EL population and services provided. This is a five</w:t>
      </w:r>
      <w:r>
        <w:rPr>
          <w:rFonts w:ascii="Calibri" w:hAnsi="Calibri"/>
        </w:rPr>
        <w:t>-</w:t>
      </w:r>
      <w:r w:rsidRPr="00A306F8">
        <w:rPr>
          <w:rFonts w:ascii="Calibri" w:hAnsi="Calibri"/>
        </w:rPr>
        <w:t>year plan that is updated when the needs of the students or services change. A current copy of the Plan of Service is also included in the district Consolidated Application.</w:t>
      </w:r>
    </w:p>
    <w:p w14:paraId="6430457F" w14:textId="77777777" w:rsidR="00BA4A8C" w:rsidRPr="00A306F8" w:rsidRDefault="00BA4A8C" w:rsidP="00BA1524">
      <w:pPr>
        <w:numPr>
          <w:ilvl w:val="1"/>
          <w:numId w:val="18"/>
        </w:numPr>
        <w:rPr>
          <w:rFonts w:ascii="Calibri" w:hAnsi="Calibri"/>
        </w:rPr>
      </w:pPr>
      <w:r w:rsidRPr="00A306F8">
        <w:rPr>
          <w:rFonts w:ascii="Calibri" w:hAnsi="Calibri"/>
        </w:rPr>
        <w:t xml:space="preserve">A </w:t>
      </w:r>
      <w:r>
        <w:rPr>
          <w:rFonts w:ascii="Calibri" w:hAnsi="Calibri"/>
        </w:rPr>
        <w:t xml:space="preserve">DEED </w:t>
      </w:r>
      <w:r w:rsidRPr="00A306F8">
        <w:rPr>
          <w:rFonts w:ascii="Calibri" w:hAnsi="Calibri"/>
        </w:rPr>
        <w:t xml:space="preserve">team that includes the ACCESS for ELLs 2.0 </w:t>
      </w:r>
      <w:r>
        <w:rPr>
          <w:rFonts w:ascii="Calibri" w:hAnsi="Calibri"/>
        </w:rPr>
        <w:t xml:space="preserve">assessment </w:t>
      </w:r>
      <w:r w:rsidRPr="00A306F8">
        <w:rPr>
          <w:rFonts w:ascii="Calibri" w:hAnsi="Calibri"/>
        </w:rPr>
        <w:t>program manager, Title III-A program manager</w:t>
      </w:r>
      <w:r>
        <w:rPr>
          <w:rFonts w:ascii="Calibri" w:hAnsi="Calibri"/>
        </w:rPr>
        <w:t>,</w:t>
      </w:r>
      <w:r w:rsidRPr="00A306F8">
        <w:rPr>
          <w:rFonts w:ascii="Calibri" w:hAnsi="Calibri"/>
        </w:rPr>
        <w:t xml:space="preserve"> and data management staff meet on a regular basis to discuss EL related topics that include </w:t>
      </w:r>
      <w:r>
        <w:rPr>
          <w:rFonts w:ascii="Calibri" w:hAnsi="Calibri"/>
        </w:rPr>
        <w:t>assessment</w:t>
      </w:r>
      <w:r w:rsidRPr="00A306F8">
        <w:rPr>
          <w:rFonts w:ascii="Calibri" w:hAnsi="Calibri"/>
        </w:rPr>
        <w:t xml:space="preserve"> scores and district programs. This team strives to gain insight </w:t>
      </w:r>
      <w:r>
        <w:rPr>
          <w:rFonts w:ascii="Calibri" w:hAnsi="Calibri"/>
        </w:rPr>
        <w:t>in</w:t>
      </w:r>
      <w:r w:rsidRPr="00A306F8">
        <w:rPr>
          <w:rFonts w:ascii="Calibri" w:hAnsi="Calibri"/>
        </w:rPr>
        <w:t>to the overall progress of English learners.</w:t>
      </w:r>
    </w:p>
    <w:p w14:paraId="2AE70F86" w14:textId="77777777" w:rsidR="00BA4A8C" w:rsidRPr="00A306F8" w:rsidRDefault="00BA4A8C" w:rsidP="00BA1524">
      <w:pPr>
        <w:numPr>
          <w:ilvl w:val="0"/>
          <w:numId w:val="19"/>
        </w:numPr>
        <w:rPr>
          <w:rFonts w:ascii="Calibri" w:hAnsi="Calibri"/>
        </w:rPr>
      </w:pPr>
      <w:r w:rsidRPr="00A306F8">
        <w:rPr>
          <w:rFonts w:ascii="Calibri" w:hAnsi="Calibri"/>
        </w:rPr>
        <w:t xml:space="preserve">The Title III-A program manager provides support to Title III-A </w:t>
      </w:r>
      <w:r>
        <w:rPr>
          <w:rFonts w:ascii="Calibri" w:hAnsi="Calibri"/>
        </w:rPr>
        <w:t>districts</w:t>
      </w:r>
      <w:r w:rsidRPr="00A306F8">
        <w:rPr>
          <w:rFonts w:ascii="Calibri" w:hAnsi="Calibri"/>
        </w:rPr>
        <w:t xml:space="preserve">, as well as </w:t>
      </w:r>
      <w:r>
        <w:rPr>
          <w:rFonts w:ascii="Calibri" w:hAnsi="Calibri"/>
        </w:rPr>
        <w:t xml:space="preserve">other </w:t>
      </w:r>
      <w:r w:rsidRPr="00A306F8">
        <w:rPr>
          <w:rFonts w:ascii="Calibri" w:hAnsi="Calibri"/>
        </w:rPr>
        <w:t>districts with</w:t>
      </w:r>
      <w:r>
        <w:rPr>
          <w:rFonts w:ascii="Calibri" w:hAnsi="Calibri"/>
        </w:rPr>
        <w:t xml:space="preserve"> schools with</w:t>
      </w:r>
      <w:r w:rsidRPr="00A306F8">
        <w:rPr>
          <w:rFonts w:ascii="Calibri" w:hAnsi="Calibri"/>
        </w:rPr>
        <w:t xml:space="preserve"> more than </w:t>
      </w:r>
      <w:r>
        <w:rPr>
          <w:rFonts w:ascii="Calibri" w:hAnsi="Calibri"/>
        </w:rPr>
        <w:t>eight</w:t>
      </w:r>
      <w:r w:rsidRPr="00A306F8">
        <w:rPr>
          <w:rFonts w:ascii="Calibri" w:hAnsi="Calibri"/>
        </w:rPr>
        <w:t xml:space="preserve"> English learners. Support includes:</w:t>
      </w:r>
    </w:p>
    <w:p w14:paraId="7D4B6137" w14:textId="77777777" w:rsidR="00BA4A8C" w:rsidRPr="00A306F8" w:rsidRDefault="00BA4A8C" w:rsidP="00BA1524">
      <w:pPr>
        <w:numPr>
          <w:ilvl w:val="0"/>
          <w:numId w:val="20"/>
        </w:numPr>
        <w:rPr>
          <w:rFonts w:ascii="Calibri" w:hAnsi="Calibri"/>
        </w:rPr>
      </w:pPr>
      <w:r>
        <w:rPr>
          <w:rFonts w:ascii="Calibri" w:hAnsi="Calibri"/>
        </w:rPr>
        <w:t>U</w:t>
      </w:r>
      <w:r w:rsidRPr="00A306F8">
        <w:rPr>
          <w:rFonts w:ascii="Calibri" w:hAnsi="Calibri"/>
        </w:rPr>
        <w:t xml:space="preserve">pdates and information regarding English learners in a </w:t>
      </w:r>
      <w:r>
        <w:rPr>
          <w:rFonts w:ascii="Calibri" w:hAnsi="Calibri"/>
        </w:rPr>
        <w:t xml:space="preserve">weekly </w:t>
      </w:r>
      <w:r w:rsidRPr="00A306F8">
        <w:rPr>
          <w:rFonts w:ascii="Calibri" w:hAnsi="Calibri"/>
        </w:rPr>
        <w:t>newsletter</w:t>
      </w:r>
    </w:p>
    <w:p w14:paraId="4FDD7D81" w14:textId="77777777" w:rsidR="00BA4A8C" w:rsidRPr="00A306F8" w:rsidRDefault="00BA4A8C" w:rsidP="00BA1524">
      <w:pPr>
        <w:numPr>
          <w:ilvl w:val="0"/>
          <w:numId w:val="20"/>
        </w:numPr>
        <w:rPr>
          <w:rFonts w:ascii="Calibri" w:hAnsi="Calibri"/>
        </w:rPr>
      </w:pPr>
      <w:r w:rsidRPr="00A306F8">
        <w:rPr>
          <w:rFonts w:ascii="Calibri" w:hAnsi="Calibri"/>
        </w:rPr>
        <w:t>Support and technical assistance in creating Plans of Service</w:t>
      </w:r>
    </w:p>
    <w:p w14:paraId="7F24A7E2" w14:textId="77777777" w:rsidR="00BA4A8C" w:rsidRPr="00A306F8" w:rsidRDefault="00BA4A8C" w:rsidP="00BA1524">
      <w:pPr>
        <w:numPr>
          <w:ilvl w:val="0"/>
          <w:numId w:val="20"/>
        </w:numPr>
        <w:rPr>
          <w:rFonts w:ascii="Calibri" w:hAnsi="Calibri"/>
        </w:rPr>
      </w:pPr>
      <w:r w:rsidRPr="00A306F8">
        <w:rPr>
          <w:rFonts w:ascii="Calibri" w:hAnsi="Calibri"/>
        </w:rPr>
        <w:t>Connecting districts with similar programs and/or challenges</w:t>
      </w:r>
    </w:p>
    <w:p w14:paraId="3C498A21" w14:textId="77777777" w:rsidR="00BA4A8C" w:rsidRPr="00A306F8" w:rsidRDefault="00BA4A8C" w:rsidP="00BA1524">
      <w:pPr>
        <w:numPr>
          <w:ilvl w:val="0"/>
          <w:numId w:val="20"/>
        </w:numPr>
        <w:rPr>
          <w:rFonts w:ascii="Calibri" w:hAnsi="Calibri"/>
        </w:rPr>
      </w:pPr>
      <w:r w:rsidRPr="00A306F8">
        <w:rPr>
          <w:rFonts w:ascii="Calibri" w:hAnsi="Calibri"/>
        </w:rPr>
        <w:t>Focused technical assistance during monitoring visits or desk audits</w:t>
      </w:r>
    </w:p>
    <w:p w14:paraId="6C44E5BC" w14:textId="77777777" w:rsidR="00BA4A8C" w:rsidRPr="00A306F8" w:rsidRDefault="00BA4A8C" w:rsidP="00BA1524">
      <w:pPr>
        <w:numPr>
          <w:ilvl w:val="0"/>
          <w:numId w:val="20"/>
        </w:numPr>
        <w:rPr>
          <w:rFonts w:ascii="Calibri" w:hAnsi="Calibri"/>
        </w:rPr>
      </w:pPr>
      <w:r w:rsidRPr="00A306F8">
        <w:rPr>
          <w:rFonts w:ascii="Calibri" w:hAnsi="Calibri"/>
        </w:rPr>
        <w:t>Updates on any policy or procedural requirements</w:t>
      </w:r>
    </w:p>
    <w:p w14:paraId="2A2E3DA8" w14:textId="77777777" w:rsidR="00BA4A8C" w:rsidRPr="00A306F8" w:rsidRDefault="00BA4A8C" w:rsidP="00BA1524">
      <w:pPr>
        <w:numPr>
          <w:ilvl w:val="0"/>
          <w:numId w:val="20"/>
        </w:numPr>
        <w:rPr>
          <w:rFonts w:ascii="Calibri" w:hAnsi="Calibri"/>
        </w:rPr>
      </w:pPr>
      <w:r w:rsidRPr="00A306F8">
        <w:rPr>
          <w:rFonts w:ascii="Calibri" w:hAnsi="Calibri"/>
        </w:rPr>
        <w:lastRenderedPageBreak/>
        <w:t>Creating guidance to support districts and schools</w:t>
      </w:r>
    </w:p>
    <w:p w14:paraId="4B002049" w14:textId="77777777" w:rsidR="00BA4A8C" w:rsidRPr="00A306F8" w:rsidRDefault="00BA4A8C" w:rsidP="00BA1524">
      <w:pPr>
        <w:numPr>
          <w:ilvl w:val="0"/>
          <w:numId w:val="20"/>
        </w:numPr>
        <w:rPr>
          <w:rFonts w:ascii="Calibri" w:hAnsi="Calibri"/>
        </w:rPr>
      </w:pPr>
      <w:r w:rsidRPr="00A306F8">
        <w:rPr>
          <w:rFonts w:ascii="Calibri" w:hAnsi="Calibri"/>
        </w:rPr>
        <w:t xml:space="preserve">Scheduled informational webinars </w:t>
      </w:r>
    </w:p>
    <w:p w14:paraId="5EE36A95" w14:textId="77777777" w:rsidR="00BA4A8C" w:rsidRPr="00A306F8" w:rsidRDefault="00BA4A8C" w:rsidP="00BA1524">
      <w:pPr>
        <w:numPr>
          <w:ilvl w:val="0"/>
          <w:numId w:val="20"/>
        </w:numPr>
        <w:rPr>
          <w:rFonts w:ascii="Calibri" w:hAnsi="Calibri"/>
        </w:rPr>
      </w:pPr>
      <w:r w:rsidRPr="00A306F8">
        <w:rPr>
          <w:rFonts w:ascii="Calibri" w:hAnsi="Calibri"/>
        </w:rPr>
        <w:t>Providing information regarding WIDA materials and trainings</w:t>
      </w:r>
    </w:p>
    <w:p w14:paraId="557CBCB4" w14:textId="77777777" w:rsidR="00BA4A8C" w:rsidRDefault="00BA4A8C" w:rsidP="00BA1524">
      <w:pPr>
        <w:numPr>
          <w:ilvl w:val="0"/>
          <w:numId w:val="20"/>
        </w:numPr>
        <w:rPr>
          <w:rFonts w:ascii="Calibri" w:hAnsi="Calibri"/>
        </w:rPr>
      </w:pPr>
      <w:r w:rsidRPr="00A306F8">
        <w:rPr>
          <w:rFonts w:ascii="Calibri" w:hAnsi="Calibri"/>
        </w:rPr>
        <w:t>Acting as a liaison between other Title programs and the assessment team</w:t>
      </w:r>
    </w:p>
    <w:p w14:paraId="2D6038C8" w14:textId="77777777" w:rsidR="00BA4A8C" w:rsidRPr="00411246" w:rsidRDefault="00BA4A8C" w:rsidP="00BA1524">
      <w:pPr>
        <w:numPr>
          <w:ilvl w:val="0"/>
          <w:numId w:val="19"/>
        </w:numPr>
        <w:rPr>
          <w:rFonts w:ascii="Calibri" w:hAnsi="Calibri"/>
        </w:rPr>
      </w:pPr>
      <w:r w:rsidRPr="00411246">
        <w:rPr>
          <w:rFonts w:ascii="Calibri" w:hAnsi="Calibri"/>
        </w:rPr>
        <w:t>Technical Assistance for Supporting Early Learners that are ELs</w:t>
      </w:r>
    </w:p>
    <w:p w14:paraId="5F6F2001" w14:textId="77777777" w:rsidR="00BA4A8C" w:rsidRDefault="00BA4A8C" w:rsidP="006641B6">
      <w:pPr>
        <w:numPr>
          <w:ilvl w:val="0"/>
          <w:numId w:val="55"/>
        </w:numPr>
        <w:contextualSpacing/>
      </w:pPr>
      <w:r w:rsidRPr="00827224">
        <w:t xml:space="preserve">Alaska will coordinate technical assistance and other related activities with the </w:t>
      </w:r>
      <w:r>
        <w:t xml:space="preserve">Early Childhood team and </w:t>
      </w:r>
      <w:r w:rsidRPr="00827224">
        <w:t>Head Start Collaboration Office.</w:t>
      </w:r>
    </w:p>
    <w:p w14:paraId="452BADEA" w14:textId="77777777" w:rsidR="00BA4A8C" w:rsidRDefault="00BA4A8C" w:rsidP="00411246">
      <w:pPr>
        <w:contextualSpacing/>
      </w:pPr>
    </w:p>
    <w:p w14:paraId="37BBC4E6" w14:textId="77777777" w:rsidR="00BA4A8C" w:rsidRPr="00827224" w:rsidRDefault="00BA4A8C" w:rsidP="00411246">
      <w:pPr>
        <w:contextualSpacing/>
      </w:pPr>
      <w:r>
        <w:t>If the strategies funded with Title III-A are not found to be effective, the Title III-A program manager will provided targeted technical assistance, and may require changes to the district’s Plan of Service and/or activities funded with Title III-A in order to increase the effectiveness of the support for ELs.</w:t>
      </w:r>
    </w:p>
    <w:p w14:paraId="2B8680E6" w14:textId="40E9179B" w:rsidR="00FC293A" w:rsidRDefault="00777634" w:rsidP="00777634">
      <w:pPr>
        <w:pStyle w:val="Heading1"/>
      </w:pPr>
      <w:bookmarkStart w:id="14" w:name="_Toc6231631"/>
      <w:r>
        <w:br w:type="page"/>
      </w:r>
      <w:r w:rsidR="00FC293A">
        <w:lastRenderedPageBreak/>
        <w:t>F. Title IV, Part A: Student Support and Academic Enrichment Grants</w:t>
      </w:r>
      <w:bookmarkEnd w:id="14"/>
    </w:p>
    <w:p w14:paraId="473BADA5" w14:textId="24F9DD8A" w:rsidR="00777634" w:rsidRPr="00777634" w:rsidRDefault="00BA4A8C" w:rsidP="00777634">
      <w:pPr>
        <w:pStyle w:val="Heading2"/>
        <w:numPr>
          <w:ilvl w:val="0"/>
          <w:numId w:val="100"/>
        </w:numPr>
      </w:pPr>
      <w:r w:rsidRPr="00F72EC2">
        <w:t>Use of Funds</w:t>
      </w:r>
    </w:p>
    <w:p w14:paraId="693430EB" w14:textId="1D970F89" w:rsidR="00BA4A8C" w:rsidRPr="00FF19E3" w:rsidRDefault="00BA4A8C" w:rsidP="00777634">
      <w:pPr>
        <w:pStyle w:val="ListParagraph"/>
        <w:autoSpaceDE w:val="0"/>
        <w:autoSpaceDN w:val="0"/>
        <w:adjustRightInd w:val="0"/>
        <w:ind w:left="360"/>
        <w:rPr>
          <w:rFonts w:ascii="Calibri" w:hAnsi="Calibri" w:cs="Times New Roman"/>
          <w:color w:val="000000"/>
        </w:rPr>
      </w:pPr>
      <w:r w:rsidRPr="00FF19E3">
        <w:rPr>
          <w:rFonts w:ascii="Calibri" w:hAnsi="Calibri" w:cs="Times New Roman"/>
          <w:i/>
          <w:iCs/>
          <w:color w:val="000000"/>
        </w:rPr>
        <w:t xml:space="preserve">(ESEA section 4103(c)(2)(A)): </w:t>
      </w:r>
      <w:r w:rsidRPr="00FF19E3">
        <w:rPr>
          <w:rFonts w:ascii="Calibri" w:hAnsi="Calibri" w:cs="Times New Roman"/>
          <w:color w:val="000000"/>
        </w:rPr>
        <w:t xml:space="preserve">Describe how the SEA will use funds received under Title IV, Part A, Subpart 1 for State-level activities. </w:t>
      </w:r>
    </w:p>
    <w:p w14:paraId="12B0E14E" w14:textId="77777777" w:rsidR="00BA4A8C" w:rsidRPr="000E7269" w:rsidRDefault="00BA4A8C" w:rsidP="00424E73">
      <w:pPr>
        <w:rPr>
          <w:szCs w:val="24"/>
        </w:rPr>
      </w:pPr>
      <w:r w:rsidRPr="000E7269">
        <w:rPr>
          <w:szCs w:val="24"/>
        </w:rPr>
        <w:t xml:space="preserve">Initially, DEED will utilize its Title IV Part </w:t>
      </w:r>
      <w:proofErr w:type="gramStart"/>
      <w:r w:rsidRPr="000E7269">
        <w:rPr>
          <w:szCs w:val="24"/>
        </w:rPr>
        <w:t>A</w:t>
      </w:r>
      <w:proofErr w:type="gramEnd"/>
      <w:r w:rsidRPr="000E7269">
        <w:rPr>
          <w:szCs w:val="24"/>
        </w:rPr>
        <w:t xml:space="preserve"> </w:t>
      </w:r>
      <w:r>
        <w:rPr>
          <w:szCs w:val="24"/>
        </w:rPr>
        <w:t>State</w:t>
      </w:r>
      <w:r w:rsidRPr="000E7269">
        <w:rPr>
          <w:szCs w:val="24"/>
        </w:rPr>
        <w:t xml:space="preserve"> funding for state-level activities to support school health and safety. Alaska is disproportionately affected by behavioral health and social challenges that negatively impact student health, behavior in the classroom, and learning. Examples of these Alaska challenges include: the highest known incidence of Fetal Alcohol Spectrum Disorders in the nation, one of the highest rates of child abuse and neglect, </w:t>
      </w:r>
      <w:r>
        <w:rPr>
          <w:szCs w:val="24"/>
        </w:rPr>
        <w:t xml:space="preserve">the </w:t>
      </w:r>
      <w:r w:rsidRPr="000E7269">
        <w:rPr>
          <w:szCs w:val="24"/>
        </w:rPr>
        <w:t>highest rate</w:t>
      </w:r>
      <w:r>
        <w:rPr>
          <w:szCs w:val="24"/>
        </w:rPr>
        <w:t>s</w:t>
      </w:r>
      <w:r w:rsidRPr="000E7269">
        <w:rPr>
          <w:szCs w:val="24"/>
        </w:rPr>
        <w:t xml:space="preserve"> of domestic violence and sexual assault, high rates of substance abuse, and the highest rate of suicide in the nation. The impact these issues/adverse childhood experiences have on Alaska’s students is significant</w:t>
      </w:r>
      <w:r>
        <w:rPr>
          <w:szCs w:val="24"/>
        </w:rPr>
        <w:t>,</w:t>
      </w:r>
      <w:r w:rsidRPr="000E7269">
        <w:rPr>
          <w:szCs w:val="24"/>
        </w:rPr>
        <w:t xml:space="preserve"> and DEED will initially use the </w:t>
      </w:r>
      <w:r>
        <w:rPr>
          <w:szCs w:val="24"/>
        </w:rPr>
        <w:t>State’s</w:t>
      </w:r>
      <w:r w:rsidRPr="000E7269">
        <w:rPr>
          <w:szCs w:val="24"/>
        </w:rPr>
        <w:t xml:space="preserve"> portion of Title IV Part A funding </w:t>
      </w:r>
      <w:r>
        <w:rPr>
          <w:szCs w:val="24"/>
        </w:rPr>
        <w:t>(</w:t>
      </w:r>
      <w:r w:rsidRPr="000E7269">
        <w:rPr>
          <w:szCs w:val="24"/>
        </w:rPr>
        <w:t>approximately $</w:t>
      </w:r>
      <w:r>
        <w:rPr>
          <w:szCs w:val="24"/>
        </w:rPr>
        <w:t>80,</w:t>
      </w:r>
      <w:r w:rsidRPr="000E7269">
        <w:rPr>
          <w:szCs w:val="24"/>
        </w:rPr>
        <w:t xml:space="preserve">000) to expand the training and </w:t>
      </w:r>
      <w:r>
        <w:rPr>
          <w:szCs w:val="24"/>
        </w:rPr>
        <w:t xml:space="preserve">cohesive </w:t>
      </w:r>
      <w:r w:rsidRPr="000E7269">
        <w:rPr>
          <w:szCs w:val="24"/>
        </w:rPr>
        <w:t xml:space="preserve">professional development it provides </w:t>
      </w:r>
      <w:r>
        <w:rPr>
          <w:szCs w:val="24"/>
        </w:rPr>
        <w:t xml:space="preserve">to </w:t>
      </w:r>
      <w:r w:rsidRPr="000E7269">
        <w:rPr>
          <w:szCs w:val="24"/>
        </w:rPr>
        <w:t>districts on critical health and safety topics.  DEED will deliver both face-to-face training and state-of-the-art asynchronous distance delivered eLearning training to district personnel.</w:t>
      </w:r>
    </w:p>
    <w:p w14:paraId="353E8BA6" w14:textId="77777777" w:rsidR="00BA4A8C" w:rsidRPr="000E7269" w:rsidRDefault="00BA4A8C" w:rsidP="00BA1524">
      <w:pPr>
        <w:pStyle w:val="ListParagraph"/>
        <w:numPr>
          <w:ilvl w:val="0"/>
          <w:numId w:val="15"/>
        </w:numPr>
        <w:rPr>
          <w:szCs w:val="24"/>
        </w:rPr>
      </w:pPr>
      <w:r>
        <w:rPr>
          <w:szCs w:val="24"/>
        </w:rPr>
        <w:t xml:space="preserve">Utilizing existing </w:t>
      </w:r>
      <w:r w:rsidRPr="000E7269">
        <w:rPr>
          <w:szCs w:val="24"/>
        </w:rPr>
        <w:t>partner</w:t>
      </w:r>
      <w:r>
        <w:rPr>
          <w:szCs w:val="24"/>
        </w:rPr>
        <w:t xml:space="preserve">ships, </w:t>
      </w:r>
      <w:r w:rsidRPr="000E7269">
        <w:rPr>
          <w:szCs w:val="24"/>
        </w:rPr>
        <w:t xml:space="preserve">DEED will </w:t>
      </w:r>
      <w:r>
        <w:rPr>
          <w:szCs w:val="24"/>
        </w:rPr>
        <w:t>expand</w:t>
      </w:r>
      <w:r w:rsidRPr="000E7269">
        <w:rPr>
          <w:szCs w:val="24"/>
        </w:rPr>
        <w:t xml:space="preserve"> its delivery </w:t>
      </w:r>
      <w:r>
        <w:rPr>
          <w:szCs w:val="24"/>
        </w:rPr>
        <w:t>of face-to-face health and safety training</w:t>
      </w:r>
      <w:r w:rsidRPr="000E7269">
        <w:rPr>
          <w:szCs w:val="24"/>
        </w:rPr>
        <w:t xml:space="preserve"> to school an</w:t>
      </w:r>
      <w:r>
        <w:rPr>
          <w:szCs w:val="24"/>
        </w:rPr>
        <w:t xml:space="preserve">d community members statewide. </w:t>
      </w:r>
      <w:r w:rsidRPr="000E7269">
        <w:rPr>
          <w:rFonts w:ascii="Calibri" w:hAnsi="Calibri"/>
          <w:szCs w:val="24"/>
        </w:rPr>
        <w:t xml:space="preserve">Mental health issues, which are often either created or exacerbated by adverse childhood experiences, present a formidable barrier to student learning/safety, and addressing the classroom behaviors that arise from unaddressed mental health concerns is daunting for teachers. </w:t>
      </w:r>
      <w:r>
        <w:rPr>
          <w:rFonts w:ascii="Calibri" w:hAnsi="Calibri"/>
          <w:szCs w:val="24"/>
        </w:rPr>
        <w:t>DEED will offer statewide</w:t>
      </w:r>
      <w:r w:rsidRPr="000E7269">
        <w:rPr>
          <w:rFonts w:ascii="Calibri" w:hAnsi="Calibri"/>
          <w:szCs w:val="24"/>
        </w:rPr>
        <w:t xml:space="preserve"> evidence-based training </w:t>
      </w:r>
      <w:r>
        <w:rPr>
          <w:rFonts w:ascii="Calibri" w:hAnsi="Calibri"/>
          <w:szCs w:val="24"/>
        </w:rPr>
        <w:t xml:space="preserve">that </w:t>
      </w:r>
      <w:r w:rsidRPr="000E7269">
        <w:rPr>
          <w:rFonts w:ascii="Calibri" w:hAnsi="Calibri"/>
          <w:szCs w:val="24"/>
        </w:rPr>
        <w:t>increase</w:t>
      </w:r>
      <w:r>
        <w:rPr>
          <w:rFonts w:ascii="Calibri" w:hAnsi="Calibri"/>
          <w:szCs w:val="24"/>
        </w:rPr>
        <w:t>s</w:t>
      </w:r>
      <w:r w:rsidRPr="000E7269">
        <w:rPr>
          <w:rFonts w:ascii="Calibri" w:hAnsi="Calibri"/>
          <w:szCs w:val="24"/>
        </w:rPr>
        <w:t xml:space="preserve"> knowledge of mental illnesses, increase</w:t>
      </w:r>
      <w:r>
        <w:rPr>
          <w:rFonts w:ascii="Calibri" w:hAnsi="Calibri"/>
          <w:szCs w:val="24"/>
        </w:rPr>
        <w:t>s</w:t>
      </w:r>
      <w:r w:rsidRPr="000E7269">
        <w:rPr>
          <w:rFonts w:ascii="Calibri" w:hAnsi="Calibri"/>
          <w:szCs w:val="24"/>
        </w:rPr>
        <w:t xml:space="preserve"> first aid delivered to youth, and reduce</w:t>
      </w:r>
      <w:r>
        <w:rPr>
          <w:rFonts w:ascii="Calibri" w:hAnsi="Calibri"/>
          <w:szCs w:val="24"/>
        </w:rPr>
        <w:t>s</w:t>
      </w:r>
      <w:r w:rsidRPr="000E7269">
        <w:rPr>
          <w:rFonts w:ascii="Calibri" w:hAnsi="Calibri"/>
          <w:szCs w:val="24"/>
        </w:rPr>
        <w:t xml:space="preserve"> stigma</w:t>
      </w:r>
      <w:r>
        <w:rPr>
          <w:rFonts w:ascii="Calibri" w:hAnsi="Calibri"/>
          <w:szCs w:val="24"/>
        </w:rPr>
        <w:t>s</w:t>
      </w:r>
      <w:r w:rsidRPr="000E7269">
        <w:rPr>
          <w:rFonts w:ascii="Calibri" w:hAnsi="Calibri"/>
          <w:szCs w:val="24"/>
        </w:rPr>
        <w:t xml:space="preserve"> ass</w:t>
      </w:r>
      <w:r>
        <w:rPr>
          <w:rFonts w:ascii="Calibri" w:hAnsi="Calibri"/>
          <w:szCs w:val="24"/>
        </w:rPr>
        <w:t xml:space="preserve">ociated with mental illness with Title IV Part </w:t>
      </w:r>
      <w:proofErr w:type="gramStart"/>
      <w:r>
        <w:rPr>
          <w:rFonts w:ascii="Calibri" w:hAnsi="Calibri"/>
          <w:szCs w:val="24"/>
        </w:rPr>
        <w:t>A</w:t>
      </w:r>
      <w:proofErr w:type="gramEnd"/>
      <w:r>
        <w:rPr>
          <w:rFonts w:ascii="Calibri" w:hAnsi="Calibri"/>
          <w:szCs w:val="24"/>
        </w:rPr>
        <w:t xml:space="preserve"> State funds. </w:t>
      </w:r>
      <w:r w:rsidRPr="000E7269">
        <w:rPr>
          <w:rFonts w:ascii="Calibri" w:hAnsi="Calibri"/>
          <w:szCs w:val="24"/>
        </w:rPr>
        <w:t>The training</w:t>
      </w:r>
      <w:r>
        <w:rPr>
          <w:rFonts w:ascii="Calibri" w:hAnsi="Calibri"/>
          <w:szCs w:val="24"/>
        </w:rPr>
        <w:t xml:space="preserve"> will</w:t>
      </w:r>
      <w:r w:rsidRPr="000E7269">
        <w:rPr>
          <w:rFonts w:ascii="Calibri" w:hAnsi="Calibri"/>
          <w:szCs w:val="24"/>
        </w:rPr>
        <w:t xml:space="preserve"> provide the tools community members and school personnel need to intervene when youth may be experiencing suicidal thoughts/behaviors, self-injury, panic attacks, reactions to trauma, psychosis, substance abuse, and aggressive behaviors</w:t>
      </w:r>
      <w:r>
        <w:rPr>
          <w:rFonts w:ascii="Calibri" w:hAnsi="Calibri"/>
          <w:szCs w:val="24"/>
        </w:rPr>
        <w:t>.  Additionally, the training will</w:t>
      </w:r>
      <w:r w:rsidRPr="000E7269">
        <w:rPr>
          <w:rFonts w:ascii="Calibri" w:hAnsi="Calibri"/>
          <w:szCs w:val="24"/>
        </w:rPr>
        <w:t xml:space="preserve"> assist schools in becoming trauma sensitive and build statewide capacity to address a broad spectrum of emergent health and safety priorities affecting school-aged youth—</w:t>
      </w:r>
      <w:r>
        <w:rPr>
          <w:rFonts w:ascii="Calibri" w:hAnsi="Calibri"/>
          <w:szCs w:val="24"/>
        </w:rPr>
        <w:t>such as</w:t>
      </w:r>
      <w:r w:rsidRPr="000E7269">
        <w:rPr>
          <w:rFonts w:ascii="Calibri" w:hAnsi="Calibri"/>
          <w:szCs w:val="24"/>
        </w:rPr>
        <w:t xml:space="preserve"> the state’s current opioid epidemic.</w:t>
      </w:r>
    </w:p>
    <w:p w14:paraId="3B802151" w14:textId="77777777" w:rsidR="00BA4A8C" w:rsidRPr="000E7269" w:rsidRDefault="00BA4A8C" w:rsidP="00424E73">
      <w:pPr>
        <w:pStyle w:val="ListParagraph"/>
        <w:rPr>
          <w:szCs w:val="24"/>
        </w:rPr>
      </w:pPr>
    </w:p>
    <w:p w14:paraId="3D8AFB3D" w14:textId="77777777" w:rsidR="00BA4A8C" w:rsidRPr="00C01B59" w:rsidRDefault="00BA4A8C" w:rsidP="00BA1524">
      <w:pPr>
        <w:pStyle w:val="ListParagraph"/>
        <w:numPr>
          <w:ilvl w:val="0"/>
          <w:numId w:val="15"/>
        </w:numPr>
        <w:rPr>
          <w:szCs w:val="24"/>
        </w:rPr>
      </w:pPr>
      <w:r w:rsidRPr="000E7269">
        <w:rPr>
          <w:rFonts w:ascii="Calibri" w:eastAsia="Calibri" w:hAnsi="Calibri" w:cs="Times New Roman"/>
          <w:szCs w:val="24"/>
        </w:rPr>
        <w:t>DEED will expand its distance</w:t>
      </w:r>
      <w:r>
        <w:rPr>
          <w:rFonts w:ascii="Calibri" w:eastAsia="Calibri" w:hAnsi="Calibri" w:cs="Times New Roman"/>
          <w:szCs w:val="24"/>
        </w:rPr>
        <w:t>-</w:t>
      </w:r>
      <w:r w:rsidRPr="000E7269">
        <w:rPr>
          <w:rFonts w:ascii="Calibri" w:eastAsia="Calibri" w:hAnsi="Calibri" w:cs="Times New Roman"/>
          <w:szCs w:val="24"/>
        </w:rPr>
        <w:t>delivered e</w:t>
      </w:r>
      <w:r>
        <w:rPr>
          <w:rFonts w:ascii="Calibri" w:eastAsia="Calibri" w:hAnsi="Calibri" w:cs="Times New Roman"/>
          <w:szCs w:val="24"/>
        </w:rPr>
        <w:t>Learning Program. This program</w:t>
      </w:r>
      <w:r w:rsidRPr="000E7269">
        <w:rPr>
          <w:rFonts w:ascii="Calibri" w:eastAsia="Calibri" w:hAnsi="Calibri" w:cs="Times New Roman"/>
          <w:szCs w:val="24"/>
        </w:rPr>
        <w:t xml:space="preserve"> currently offers 50 online courses to more than 1</w:t>
      </w:r>
      <w:r>
        <w:rPr>
          <w:rFonts w:ascii="Calibri" w:eastAsia="Calibri" w:hAnsi="Calibri" w:cs="Times New Roman"/>
          <w:szCs w:val="24"/>
        </w:rPr>
        <w:t>8</w:t>
      </w:r>
      <w:r w:rsidRPr="000E7269">
        <w:rPr>
          <w:rFonts w:ascii="Calibri" w:eastAsia="Calibri" w:hAnsi="Calibri" w:cs="Times New Roman"/>
          <w:szCs w:val="24"/>
        </w:rPr>
        <w:t>,</w:t>
      </w:r>
      <w:r>
        <w:rPr>
          <w:rFonts w:ascii="Calibri" w:eastAsia="Calibri" w:hAnsi="Calibri" w:cs="Times New Roman"/>
          <w:szCs w:val="24"/>
        </w:rPr>
        <w:t>5</w:t>
      </w:r>
      <w:r w:rsidRPr="000E7269">
        <w:rPr>
          <w:rFonts w:ascii="Calibri" w:eastAsia="Calibri" w:hAnsi="Calibri" w:cs="Times New Roman"/>
          <w:szCs w:val="24"/>
        </w:rPr>
        <w:t>00 users and employs state</w:t>
      </w:r>
      <w:r>
        <w:rPr>
          <w:rFonts w:ascii="Calibri" w:eastAsia="Calibri" w:hAnsi="Calibri" w:cs="Times New Roman"/>
          <w:szCs w:val="24"/>
        </w:rPr>
        <w:t>-</w:t>
      </w:r>
      <w:r w:rsidRPr="000E7269">
        <w:rPr>
          <w:rFonts w:ascii="Calibri" w:eastAsia="Calibri" w:hAnsi="Calibri" w:cs="Times New Roman"/>
          <w:szCs w:val="24"/>
        </w:rPr>
        <w:t>of</w:t>
      </w:r>
      <w:r>
        <w:rPr>
          <w:rFonts w:ascii="Calibri" w:eastAsia="Calibri" w:hAnsi="Calibri" w:cs="Times New Roman"/>
          <w:szCs w:val="24"/>
        </w:rPr>
        <w:t>-</w:t>
      </w:r>
      <w:r w:rsidRPr="000E7269">
        <w:rPr>
          <w:rFonts w:ascii="Calibri" w:eastAsia="Calibri" w:hAnsi="Calibri" w:cs="Times New Roman"/>
          <w:szCs w:val="24"/>
        </w:rPr>
        <w:t>the</w:t>
      </w:r>
      <w:r>
        <w:rPr>
          <w:rFonts w:ascii="Calibri" w:eastAsia="Calibri" w:hAnsi="Calibri" w:cs="Times New Roman"/>
          <w:szCs w:val="24"/>
        </w:rPr>
        <w:t>-</w:t>
      </w:r>
      <w:r w:rsidRPr="000E7269">
        <w:rPr>
          <w:rFonts w:ascii="Calibri" w:eastAsia="Calibri" w:hAnsi="Calibri" w:cs="Times New Roman"/>
          <w:szCs w:val="24"/>
        </w:rPr>
        <w:t xml:space="preserve">art technology to deliver timely and cost effective asynchronous educational training to teachers, other district personnel, school service providers, and parents. This system </w:t>
      </w:r>
      <w:r>
        <w:rPr>
          <w:rFonts w:ascii="Calibri" w:eastAsia="Calibri" w:hAnsi="Calibri" w:cs="Times New Roman"/>
          <w:szCs w:val="24"/>
        </w:rPr>
        <w:t>offers</w:t>
      </w:r>
      <w:r w:rsidRPr="000E7269">
        <w:rPr>
          <w:rFonts w:ascii="Calibri" w:eastAsia="Calibri" w:hAnsi="Calibri" w:cs="Times New Roman"/>
          <w:szCs w:val="24"/>
        </w:rPr>
        <w:t xml:space="preserve"> educator</w:t>
      </w:r>
      <w:r>
        <w:rPr>
          <w:rFonts w:ascii="Calibri" w:eastAsia="Calibri" w:hAnsi="Calibri" w:cs="Times New Roman"/>
          <w:szCs w:val="24"/>
        </w:rPr>
        <w:t>s</w:t>
      </w:r>
      <w:r w:rsidRPr="000E7269">
        <w:rPr>
          <w:rFonts w:ascii="Calibri" w:eastAsia="Calibri" w:hAnsi="Calibri" w:cs="Times New Roman"/>
          <w:szCs w:val="24"/>
        </w:rPr>
        <w:t xml:space="preserve"> and other education stakeholder</w:t>
      </w:r>
      <w:r>
        <w:rPr>
          <w:rFonts w:ascii="Calibri" w:eastAsia="Calibri" w:hAnsi="Calibri" w:cs="Times New Roman"/>
          <w:szCs w:val="24"/>
        </w:rPr>
        <w:t>s</w:t>
      </w:r>
      <w:r w:rsidRPr="000E7269">
        <w:rPr>
          <w:rFonts w:ascii="Calibri" w:eastAsia="Calibri" w:hAnsi="Calibri" w:cs="Times New Roman"/>
          <w:szCs w:val="24"/>
        </w:rPr>
        <w:t xml:space="preserve"> training on many health, safety, and </w:t>
      </w:r>
      <w:r w:rsidRPr="000E7269">
        <w:rPr>
          <w:rFonts w:eastAsia="Calibri" w:cs="Times New Roman"/>
          <w:szCs w:val="24"/>
        </w:rPr>
        <w:t>educational topics that play a vital role in improving academic achievement. District feedback on this system has been  positive—indicating it provides high quality training, limits the loss of teacher instructional time often incurred by training, and saves them significant funding they would otherwise spend on acquiring/delivering the training.</w:t>
      </w:r>
      <w:r>
        <w:rPr>
          <w:rFonts w:eastAsia="Calibri" w:cs="Times New Roman"/>
          <w:szCs w:val="24"/>
        </w:rPr>
        <w:t xml:space="preserve"> These courses have been offered at no cost to districts, and DEED will work to continue offering these at no cost as resources allow.</w:t>
      </w:r>
    </w:p>
    <w:p w14:paraId="07B3E0AF" w14:textId="77777777" w:rsidR="00777634" w:rsidRDefault="00777634" w:rsidP="00777634">
      <w:pPr>
        <w:pStyle w:val="ListParagraph"/>
        <w:rPr>
          <w:szCs w:val="24"/>
        </w:rPr>
      </w:pPr>
    </w:p>
    <w:p w14:paraId="6906A0D7" w14:textId="2F346282" w:rsidR="00BA4A8C" w:rsidRDefault="00BA4A8C" w:rsidP="00777634">
      <w:pPr>
        <w:pStyle w:val="ListParagraph"/>
        <w:rPr>
          <w:rFonts w:eastAsia="MS Mincho"/>
          <w:szCs w:val="24"/>
        </w:rPr>
      </w:pPr>
      <w:r w:rsidRPr="000E7269">
        <w:rPr>
          <w:szCs w:val="24"/>
        </w:rPr>
        <w:t xml:space="preserve">The eLearning Program delivers many courses on student health related topics like suicide prevention, alcohol and drug related disabilities, child abuse and neglect prevention, domestic violence and sexual assault prevention, and dating violence prevention that all contribute to </w:t>
      </w:r>
      <w:r w:rsidRPr="000E7269">
        <w:rPr>
          <w:szCs w:val="24"/>
        </w:rPr>
        <w:lastRenderedPageBreak/>
        <w:t xml:space="preserve">achieving trauma sensitive schools. DEED will expand its offerings to include new courses on critical topics like adverse childhood experiences, trauma informed schools, and opioid </w:t>
      </w:r>
      <w:r>
        <w:rPr>
          <w:szCs w:val="24"/>
        </w:rPr>
        <w:t xml:space="preserve">abuse </w:t>
      </w:r>
      <w:r w:rsidRPr="000E7269">
        <w:rPr>
          <w:szCs w:val="24"/>
        </w:rPr>
        <w:t>prevention/intervention. DEED will also update existing courses to keep them current on best practices and emerg</w:t>
      </w:r>
      <w:r>
        <w:rPr>
          <w:szCs w:val="24"/>
        </w:rPr>
        <w:t>ing</w:t>
      </w:r>
      <w:r w:rsidRPr="000E7269">
        <w:rPr>
          <w:szCs w:val="24"/>
        </w:rPr>
        <w:t xml:space="preserve"> educational research.</w:t>
      </w:r>
      <w:r w:rsidRPr="000E7269">
        <w:rPr>
          <w:rFonts w:eastAsia="MS Mincho"/>
          <w:szCs w:val="24"/>
        </w:rPr>
        <w:t xml:space="preserve"> For example, DEED will partner with its regional equity support center, the Western Educational Equity Assistance Center within the Metropolitan State University of Denver, to update its eLearning training materials on bullying, harassment, and intimidation prevention.  </w:t>
      </w:r>
    </w:p>
    <w:p w14:paraId="6A26EC02" w14:textId="77777777" w:rsidR="00BA4A8C" w:rsidRDefault="00BA4A8C" w:rsidP="00424E73">
      <w:pPr>
        <w:ind w:left="720"/>
        <w:rPr>
          <w:rFonts w:eastAsia="Calibri" w:cs="Times New Roman"/>
          <w:szCs w:val="24"/>
        </w:rPr>
      </w:pPr>
      <w:r w:rsidRPr="000E7269">
        <w:rPr>
          <w:rFonts w:eastAsia="Calibri" w:cs="Times New Roman"/>
          <w:szCs w:val="24"/>
        </w:rPr>
        <w:t xml:space="preserve">In addition to growing its health and safety course offerings, DEED envisions expanding its utilization of the eLearning system to support districts both in understanding and implementing ESSA. </w:t>
      </w:r>
    </w:p>
    <w:p w14:paraId="1F5D7923" w14:textId="28073DB7" w:rsidR="00BA4A8C" w:rsidRPr="005017F4" w:rsidRDefault="00BA4A8C" w:rsidP="00080D72">
      <w:pPr>
        <w:pStyle w:val="ListParagraph"/>
        <w:numPr>
          <w:ilvl w:val="0"/>
          <w:numId w:val="15"/>
        </w:numPr>
        <w:spacing w:after="160"/>
        <w:ind w:left="360"/>
        <w:rPr>
          <w:rFonts w:ascii="Calibri" w:hAnsi="Calibri"/>
        </w:rPr>
      </w:pPr>
      <w:r w:rsidRPr="005017F4">
        <w:rPr>
          <w:rFonts w:eastAsia="Calibri" w:cs="Times New Roman"/>
          <w:szCs w:val="24"/>
        </w:rPr>
        <w:t>In summary, DEED will retain 1 percent of Title IV Part A funding to cover statewide program administrative costs and will utilize 4 percent of the program funding to support the following SEA level activities: LEA training as indicated in sections A and B, LEA technical assistance, LEA capacity building, and LEA monitoring.  The remaining 95 percent of Title IV Part A funding will be allocated to LEAs.</w:t>
      </w:r>
    </w:p>
    <w:p w14:paraId="425C4FDD" w14:textId="0C860C13" w:rsidR="00777634" w:rsidRDefault="00BA4A8C" w:rsidP="00777634">
      <w:pPr>
        <w:pStyle w:val="Heading2"/>
        <w:numPr>
          <w:ilvl w:val="0"/>
          <w:numId w:val="100"/>
        </w:numPr>
      </w:pPr>
      <w:r w:rsidRPr="00F72EC2">
        <w:t xml:space="preserve">Awarding </w:t>
      </w:r>
      <w:proofErr w:type="spellStart"/>
      <w:r w:rsidRPr="00F72EC2">
        <w:t>Subgrants</w:t>
      </w:r>
      <w:proofErr w:type="spellEnd"/>
    </w:p>
    <w:p w14:paraId="5FFCF44D" w14:textId="2C9DF211" w:rsidR="00BA4A8C" w:rsidRPr="00FF19E3" w:rsidRDefault="00BA4A8C" w:rsidP="00777634">
      <w:pPr>
        <w:pStyle w:val="ListParagraph"/>
        <w:autoSpaceDE w:val="0"/>
        <w:autoSpaceDN w:val="0"/>
        <w:adjustRightInd w:val="0"/>
        <w:ind w:left="360"/>
        <w:rPr>
          <w:rFonts w:ascii="Calibri" w:hAnsi="Calibri" w:cs="Times New Roman"/>
          <w:color w:val="000000"/>
        </w:rPr>
      </w:pPr>
      <w:r w:rsidRPr="00FF19E3">
        <w:rPr>
          <w:rFonts w:ascii="Calibri" w:hAnsi="Calibri" w:cs="Times New Roman"/>
          <w:i/>
          <w:iCs/>
          <w:color w:val="000000"/>
        </w:rPr>
        <w:t>(ESEA section 4103(c)(2)(B))</w:t>
      </w:r>
      <w:r w:rsidRPr="00FF19E3">
        <w:rPr>
          <w:rFonts w:ascii="Calibri" w:hAnsi="Calibri" w:cs="Times New Roman"/>
          <w:color w:val="000000"/>
        </w:rPr>
        <w:t xml:space="preserve">: Describe how the SEA will ensure that awards made to LEAs under Title IV, Part A, Subpart 1 are in amounts that are consistent with ESEA section 4105(a)(2). </w:t>
      </w:r>
    </w:p>
    <w:p w14:paraId="3AE93E36" w14:textId="77777777" w:rsidR="00777634" w:rsidRDefault="00BA4A8C" w:rsidP="00777634">
      <w:pPr>
        <w:rPr>
          <w:szCs w:val="24"/>
        </w:rPr>
      </w:pPr>
      <w:r w:rsidRPr="000E7269">
        <w:rPr>
          <w:szCs w:val="24"/>
        </w:rPr>
        <w:t xml:space="preserve">DEED’s Division of </w:t>
      </w:r>
      <w:r>
        <w:rPr>
          <w:szCs w:val="24"/>
        </w:rPr>
        <w:t>Finance and</w:t>
      </w:r>
      <w:r w:rsidRPr="000E7269">
        <w:rPr>
          <w:szCs w:val="24"/>
        </w:rPr>
        <w:t xml:space="preserve"> Support Services</w:t>
      </w:r>
      <w:r>
        <w:rPr>
          <w:szCs w:val="24"/>
        </w:rPr>
        <w:t xml:space="preserve">, </w:t>
      </w:r>
      <w:r w:rsidRPr="000E7269">
        <w:rPr>
          <w:szCs w:val="24"/>
        </w:rPr>
        <w:t xml:space="preserve">Administrative Finance Unit will be responsible for calculating </w:t>
      </w:r>
      <w:r>
        <w:rPr>
          <w:szCs w:val="24"/>
        </w:rPr>
        <w:t>district</w:t>
      </w:r>
      <w:r w:rsidRPr="000E7269">
        <w:rPr>
          <w:szCs w:val="24"/>
        </w:rPr>
        <w:t xml:space="preserve"> Title IV Part A allocations. These calculations will be determined in accordance with this ESEA section’s minimum local education agency allocation requirement that no district receive less than $10,000.</w:t>
      </w:r>
      <w:bookmarkStart w:id="15" w:name="_Toc6231632"/>
    </w:p>
    <w:p w14:paraId="40E3B225" w14:textId="77777777" w:rsidR="00777634" w:rsidRDefault="00777634">
      <w:pPr>
        <w:spacing w:after="160"/>
        <w:rPr>
          <w:szCs w:val="24"/>
        </w:rPr>
      </w:pPr>
      <w:r>
        <w:rPr>
          <w:szCs w:val="24"/>
        </w:rPr>
        <w:br w:type="page"/>
      </w:r>
    </w:p>
    <w:p w14:paraId="4C4E97BC" w14:textId="210466AD" w:rsidR="00FC293A" w:rsidRDefault="00FC293A" w:rsidP="00777634">
      <w:pPr>
        <w:pStyle w:val="Heading1"/>
      </w:pPr>
      <w:r>
        <w:lastRenderedPageBreak/>
        <w:t>G. Title IV, Part B: 21</w:t>
      </w:r>
      <w:r w:rsidRPr="00FF19E3">
        <w:rPr>
          <w:vertAlign w:val="superscript"/>
        </w:rPr>
        <w:t>st</w:t>
      </w:r>
      <w:r>
        <w:t xml:space="preserve"> Century Community Learning Centers</w:t>
      </w:r>
      <w:bookmarkEnd w:id="15"/>
    </w:p>
    <w:p w14:paraId="04FEB6D1" w14:textId="266DB610" w:rsidR="00777634" w:rsidRDefault="00BA4A8C" w:rsidP="00777634">
      <w:pPr>
        <w:pStyle w:val="Heading2"/>
        <w:numPr>
          <w:ilvl w:val="0"/>
          <w:numId w:val="101"/>
        </w:numPr>
      </w:pPr>
      <w:r w:rsidRPr="00F72EC2">
        <w:t>Use of Funds</w:t>
      </w:r>
    </w:p>
    <w:p w14:paraId="60FEC836" w14:textId="741C83F1" w:rsidR="00BA4A8C" w:rsidRPr="00B54273" w:rsidRDefault="00BA4A8C" w:rsidP="00777634">
      <w:pPr>
        <w:pStyle w:val="ListParagraph"/>
        <w:autoSpaceDE w:val="0"/>
        <w:autoSpaceDN w:val="0"/>
        <w:adjustRightInd w:val="0"/>
        <w:ind w:left="360"/>
        <w:rPr>
          <w:rFonts w:ascii="Calibri" w:hAnsi="Calibri" w:cs="Times New Roman"/>
          <w:color w:val="000000"/>
        </w:rPr>
      </w:pPr>
      <w:r w:rsidRPr="00B54273">
        <w:rPr>
          <w:rFonts w:ascii="Calibri" w:hAnsi="Calibri" w:cs="Times New Roman"/>
          <w:i/>
          <w:iCs/>
          <w:color w:val="000000"/>
        </w:rPr>
        <w:t>(ESEA section 4203(a</w:t>
      </w:r>
      <w:proofErr w:type="gramStart"/>
      <w:r w:rsidRPr="00B54273">
        <w:rPr>
          <w:rFonts w:ascii="Calibri" w:hAnsi="Calibri" w:cs="Times New Roman"/>
          <w:i/>
          <w:iCs/>
          <w:color w:val="000000"/>
        </w:rPr>
        <w:t>)(</w:t>
      </w:r>
      <w:proofErr w:type="gramEnd"/>
      <w:r w:rsidRPr="00B54273">
        <w:rPr>
          <w:rFonts w:ascii="Calibri" w:hAnsi="Calibri" w:cs="Times New Roman"/>
          <w:i/>
          <w:iCs/>
          <w:color w:val="000000"/>
        </w:rPr>
        <w:t>2))</w:t>
      </w:r>
      <w:r w:rsidRPr="00B54273">
        <w:rPr>
          <w:rFonts w:ascii="Calibri" w:hAnsi="Calibri" w:cs="Times New Roman"/>
          <w:color w:val="000000"/>
        </w:rPr>
        <w:t>: Describe how the SEA will use funds received under the 21</w:t>
      </w:r>
      <w:r w:rsidRPr="00B54273">
        <w:rPr>
          <w:rFonts w:ascii="Calibri" w:hAnsi="Calibri" w:cs="Times New Roman"/>
          <w:color w:val="000000"/>
          <w:sz w:val="14"/>
          <w:szCs w:val="14"/>
        </w:rPr>
        <w:t xml:space="preserve">st </w:t>
      </w:r>
      <w:r w:rsidRPr="00B54273">
        <w:rPr>
          <w:rFonts w:ascii="Calibri" w:hAnsi="Calibri" w:cs="Times New Roman"/>
          <w:color w:val="000000"/>
        </w:rPr>
        <w:t xml:space="preserve">Century Community Learning Centers program, including funds reserved for State-level activities. </w:t>
      </w:r>
    </w:p>
    <w:p w14:paraId="0A6EC9EF" w14:textId="77777777" w:rsidR="00BA4A8C" w:rsidRDefault="00BA4A8C" w:rsidP="00424E73">
      <w:pPr>
        <w:rPr>
          <w:rFonts w:ascii="Calibri" w:hAnsi="Calibri"/>
        </w:rPr>
      </w:pPr>
      <w:r>
        <w:rPr>
          <w:rFonts w:ascii="Calibri" w:hAnsi="Calibri"/>
        </w:rPr>
        <w:t xml:space="preserve">In any given year, </w:t>
      </w:r>
      <w:r w:rsidRPr="00C36827">
        <w:rPr>
          <w:rFonts w:ascii="Calibri" w:hAnsi="Calibri"/>
        </w:rPr>
        <w:t xml:space="preserve">DEED will utilize </w:t>
      </w:r>
      <w:r>
        <w:rPr>
          <w:rFonts w:ascii="Calibri" w:hAnsi="Calibri"/>
        </w:rPr>
        <w:t>up to the full</w:t>
      </w:r>
      <w:r w:rsidRPr="00C36827">
        <w:rPr>
          <w:rFonts w:ascii="Calibri" w:hAnsi="Calibri"/>
        </w:rPr>
        <w:t xml:space="preserve"> </w:t>
      </w:r>
      <w:r>
        <w:rPr>
          <w:rFonts w:ascii="Calibri" w:hAnsi="Calibri"/>
        </w:rPr>
        <w:t>seven percent</w:t>
      </w:r>
      <w:r w:rsidRPr="00C36827">
        <w:rPr>
          <w:rFonts w:ascii="Calibri" w:hAnsi="Calibri"/>
        </w:rPr>
        <w:t xml:space="preserve"> of funds allowable for </w:t>
      </w:r>
      <w:r>
        <w:rPr>
          <w:rFonts w:ascii="Calibri" w:hAnsi="Calibri"/>
        </w:rPr>
        <w:t>State</w:t>
      </w:r>
      <w:r w:rsidRPr="00C36827">
        <w:rPr>
          <w:rFonts w:ascii="Calibri" w:hAnsi="Calibri"/>
        </w:rPr>
        <w:t xml:space="preserve"> usage to complete some or all of the following activities:</w:t>
      </w:r>
    </w:p>
    <w:p w14:paraId="21FBDD49" w14:textId="77777777" w:rsidR="00BA4A8C" w:rsidRPr="00C36827" w:rsidRDefault="00BA4A8C" w:rsidP="00BA1524">
      <w:pPr>
        <w:pStyle w:val="ListParagraph"/>
        <w:numPr>
          <w:ilvl w:val="0"/>
          <w:numId w:val="12"/>
        </w:numPr>
        <w:contextualSpacing w:val="0"/>
        <w:rPr>
          <w:rFonts w:ascii="Calibri" w:hAnsi="Calibri"/>
        </w:rPr>
      </w:pPr>
      <w:r w:rsidRPr="00C36827">
        <w:rPr>
          <w:rFonts w:ascii="Calibri" w:hAnsi="Calibri"/>
        </w:rPr>
        <w:t>Write a</w:t>
      </w:r>
      <w:r>
        <w:rPr>
          <w:rFonts w:ascii="Calibri" w:hAnsi="Calibri"/>
        </w:rPr>
        <w:t xml:space="preserve"> Request for Application (</w:t>
      </w:r>
      <w:r w:rsidRPr="00C36827">
        <w:rPr>
          <w:rFonts w:ascii="Calibri" w:hAnsi="Calibri"/>
        </w:rPr>
        <w:t>RFA</w:t>
      </w:r>
      <w:r>
        <w:rPr>
          <w:rFonts w:ascii="Calibri" w:hAnsi="Calibri"/>
        </w:rPr>
        <w:t>)</w:t>
      </w:r>
      <w:r w:rsidRPr="00C36827">
        <w:rPr>
          <w:rFonts w:ascii="Calibri" w:hAnsi="Calibri"/>
        </w:rPr>
        <w:t xml:space="preserve"> that solicits grant proposals that will create or expand community learning centers that support students’ academic and non-academic needs and satisfy all 21</w:t>
      </w:r>
      <w:r w:rsidRPr="00C36827">
        <w:rPr>
          <w:rFonts w:ascii="Calibri" w:hAnsi="Calibri"/>
          <w:vertAlign w:val="superscript"/>
        </w:rPr>
        <w:t>st</w:t>
      </w:r>
      <w:r w:rsidRPr="00C36827">
        <w:rPr>
          <w:rFonts w:ascii="Calibri" w:hAnsi="Calibri"/>
        </w:rPr>
        <w:t xml:space="preserve"> CCLC statutory requirements</w:t>
      </w:r>
      <w:r>
        <w:rPr>
          <w:rFonts w:ascii="Calibri" w:hAnsi="Calibri"/>
        </w:rPr>
        <w:t>.</w:t>
      </w:r>
    </w:p>
    <w:p w14:paraId="5664F47D" w14:textId="77777777" w:rsidR="00BA4A8C" w:rsidRDefault="00BA4A8C" w:rsidP="00BA1524">
      <w:pPr>
        <w:pStyle w:val="ListParagraph"/>
        <w:numPr>
          <w:ilvl w:val="0"/>
          <w:numId w:val="12"/>
        </w:numPr>
        <w:contextualSpacing w:val="0"/>
        <w:rPr>
          <w:rFonts w:ascii="Calibri" w:hAnsi="Calibri"/>
        </w:rPr>
      </w:pPr>
      <w:r w:rsidRPr="00303FE4">
        <w:rPr>
          <w:rFonts w:ascii="Calibri" w:hAnsi="Calibri"/>
        </w:rPr>
        <w:t>Conduct the competitive application process that adheres to all 21</w:t>
      </w:r>
      <w:r w:rsidRPr="00303FE4">
        <w:rPr>
          <w:rFonts w:ascii="Calibri" w:hAnsi="Calibri"/>
          <w:vertAlign w:val="superscript"/>
        </w:rPr>
        <w:t>st</w:t>
      </w:r>
      <w:r w:rsidRPr="00303FE4">
        <w:rPr>
          <w:rFonts w:ascii="Calibri" w:hAnsi="Calibri"/>
        </w:rPr>
        <w:t xml:space="preserve"> CCLC statutory requirements</w:t>
      </w:r>
      <w:r>
        <w:rPr>
          <w:rFonts w:ascii="Calibri" w:hAnsi="Calibri"/>
        </w:rPr>
        <w:t>.</w:t>
      </w:r>
    </w:p>
    <w:p w14:paraId="7A04375F" w14:textId="77777777" w:rsidR="00BA4A8C" w:rsidRDefault="00BA4A8C" w:rsidP="00BA1524">
      <w:pPr>
        <w:pStyle w:val="ListParagraph"/>
        <w:numPr>
          <w:ilvl w:val="0"/>
          <w:numId w:val="12"/>
        </w:numPr>
        <w:contextualSpacing w:val="0"/>
        <w:rPr>
          <w:rFonts w:ascii="Calibri" w:hAnsi="Calibri"/>
        </w:rPr>
      </w:pPr>
      <w:r>
        <w:rPr>
          <w:rFonts w:ascii="Calibri" w:hAnsi="Calibri"/>
        </w:rPr>
        <w:t>Provide a list of potential external organizations sub-grantees might partner with.</w:t>
      </w:r>
    </w:p>
    <w:p w14:paraId="0ECD4129" w14:textId="77777777" w:rsidR="00BA4A8C" w:rsidRDefault="00BA4A8C" w:rsidP="00BA1524">
      <w:pPr>
        <w:pStyle w:val="ListParagraph"/>
        <w:numPr>
          <w:ilvl w:val="0"/>
          <w:numId w:val="12"/>
        </w:numPr>
        <w:contextualSpacing w:val="0"/>
        <w:rPr>
          <w:rFonts w:ascii="Calibri" w:hAnsi="Calibri"/>
        </w:rPr>
      </w:pPr>
      <w:r>
        <w:rPr>
          <w:rFonts w:ascii="Calibri" w:hAnsi="Calibri"/>
        </w:rPr>
        <w:t>Collect and submit all federally required 21</w:t>
      </w:r>
      <w:r w:rsidRPr="00303FE4">
        <w:rPr>
          <w:rFonts w:ascii="Calibri" w:hAnsi="Calibri"/>
          <w:vertAlign w:val="superscript"/>
        </w:rPr>
        <w:t>st</w:t>
      </w:r>
      <w:r>
        <w:rPr>
          <w:rFonts w:ascii="Calibri" w:hAnsi="Calibri"/>
        </w:rPr>
        <w:t xml:space="preserve"> CCLC data and reporting.</w:t>
      </w:r>
    </w:p>
    <w:p w14:paraId="734968EE" w14:textId="77777777" w:rsidR="00BA4A8C" w:rsidRPr="00303FE4" w:rsidRDefault="00BA4A8C" w:rsidP="00BA1524">
      <w:pPr>
        <w:pStyle w:val="ListParagraph"/>
        <w:numPr>
          <w:ilvl w:val="0"/>
          <w:numId w:val="12"/>
        </w:numPr>
        <w:contextualSpacing w:val="0"/>
        <w:rPr>
          <w:rFonts w:ascii="Calibri" w:hAnsi="Calibri"/>
        </w:rPr>
      </w:pPr>
      <w:r w:rsidRPr="00303FE4">
        <w:rPr>
          <w:rFonts w:ascii="Calibri" w:hAnsi="Calibri"/>
        </w:rPr>
        <w:t>Provide technical assistance and capacity building through online and in-person directors meetings</w:t>
      </w:r>
      <w:r>
        <w:rPr>
          <w:rFonts w:ascii="Calibri" w:hAnsi="Calibri"/>
        </w:rPr>
        <w:t>, a 21</w:t>
      </w:r>
      <w:r w:rsidRPr="0075454B">
        <w:rPr>
          <w:rFonts w:ascii="Calibri" w:hAnsi="Calibri"/>
          <w:vertAlign w:val="superscript"/>
        </w:rPr>
        <w:t>st</w:t>
      </w:r>
      <w:r>
        <w:rPr>
          <w:rFonts w:ascii="Calibri" w:hAnsi="Calibri"/>
        </w:rPr>
        <w:t xml:space="preserve"> CCLC dedicated website, email messages, and individual calls and web-conferencing. </w:t>
      </w:r>
    </w:p>
    <w:p w14:paraId="624B64A6" w14:textId="77777777" w:rsidR="00BA4A8C" w:rsidRPr="00C36827" w:rsidRDefault="00BA4A8C" w:rsidP="00BA1524">
      <w:pPr>
        <w:pStyle w:val="ListParagraph"/>
        <w:numPr>
          <w:ilvl w:val="0"/>
          <w:numId w:val="12"/>
        </w:numPr>
        <w:contextualSpacing w:val="0"/>
        <w:rPr>
          <w:rFonts w:ascii="Calibri" w:hAnsi="Calibri"/>
        </w:rPr>
      </w:pPr>
      <w:r w:rsidRPr="00303FE4">
        <w:rPr>
          <w:rFonts w:ascii="Calibri" w:hAnsi="Calibri"/>
        </w:rPr>
        <w:t>Collaborate to provide</w:t>
      </w:r>
      <w:r w:rsidRPr="00C36827">
        <w:rPr>
          <w:rFonts w:ascii="Calibri" w:hAnsi="Calibri"/>
        </w:rPr>
        <w:t xml:space="preserve"> </w:t>
      </w:r>
      <w:r>
        <w:rPr>
          <w:rFonts w:ascii="Calibri" w:hAnsi="Calibri"/>
        </w:rPr>
        <w:t xml:space="preserve">cohesive </w:t>
      </w:r>
      <w:r w:rsidRPr="00C36827">
        <w:rPr>
          <w:rFonts w:ascii="Calibri" w:hAnsi="Calibri"/>
        </w:rPr>
        <w:t>professional development</w:t>
      </w:r>
      <w:r>
        <w:rPr>
          <w:rFonts w:ascii="Calibri" w:hAnsi="Calibri"/>
        </w:rPr>
        <w:t xml:space="preserve"> on best practices</w:t>
      </w:r>
      <w:r w:rsidRPr="00C36827">
        <w:rPr>
          <w:rFonts w:ascii="Calibri" w:hAnsi="Calibri"/>
        </w:rPr>
        <w:t xml:space="preserve"> through a state conference on afterschool</w:t>
      </w:r>
      <w:r>
        <w:rPr>
          <w:rFonts w:ascii="Calibri" w:hAnsi="Calibri"/>
        </w:rPr>
        <w:t xml:space="preserve"> programs.</w:t>
      </w:r>
    </w:p>
    <w:p w14:paraId="01612D9E" w14:textId="77777777" w:rsidR="00BA4A8C" w:rsidRPr="00C36827" w:rsidRDefault="00BA4A8C" w:rsidP="00BA1524">
      <w:pPr>
        <w:pStyle w:val="ListParagraph"/>
        <w:numPr>
          <w:ilvl w:val="0"/>
          <w:numId w:val="12"/>
        </w:numPr>
        <w:contextualSpacing w:val="0"/>
        <w:rPr>
          <w:rFonts w:ascii="Calibri" w:hAnsi="Calibri"/>
        </w:rPr>
      </w:pPr>
      <w:r w:rsidRPr="00C36827">
        <w:rPr>
          <w:rFonts w:ascii="Calibri" w:hAnsi="Calibri"/>
        </w:rPr>
        <w:t>Collaborate with and support a network of afterschool providers</w:t>
      </w:r>
      <w:r>
        <w:rPr>
          <w:rFonts w:ascii="Calibri" w:hAnsi="Calibri"/>
        </w:rPr>
        <w:t>.</w:t>
      </w:r>
    </w:p>
    <w:p w14:paraId="081FBCCD" w14:textId="77777777" w:rsidR="00BA4A8C" w:rsidRDefault="00BA4A8C" w:rsidP="00BA1524">
      <w:pPr>
        <w:pStyle w:val="ListParagraph"/>
        <w:numPr>
          <w:ilvl w:val="0"/>
          <w:numId w:val="12"/>
        </w:numPr>
        <w:contextualSpacing w:val="0"/>
        <w:rPr>
          <w:rFonts w:ascii="Calibri" w:hAnsi="Calibri"/>
        </w:rPr>
      </w:pPr>
      <w:r w:rsidRPr="00C36827">
        <w:rPr>
          <w:rFonts w:ascii="Calibri" w:hAnsi="Calibri"/>
        </w:rPr>
        <w:t>Provide a state mentor as well as peer-level site visits</w:t>
      </w:r>
      <w:r>
        <w:rPr>
          <w:rFonts w:ascii="Calibri" w:hAnsi="Calibri"/>
        </w:rPr>
        <w:t>.</w:t>
      </w:r>
      <w:r w:rsidRPr="00C36827">
        <w:rPr>
          <w:rFonts w:ascii="Calibri" w:hAnsi="Calibri"/>
        </w:rPr>
        <w:t xml:space="preserve"> </w:t>
      </w:r>
    </w:p>
    <w:p w14:paraId="449AB301" w14:textId="77777777" w:rsidR="00BA4A8C" w:rsidRPr="00303FE4" w:rsidRDefault="00BA4A8C" w:rsidP="00BA1524">
      <w:pPr>
        <w:pStyle w:val="ListParagraph"/>
        <w:numPr>
          <w:ilvl w:val="0"/>
          <w:numId w:val="12"/>
        </w:numPr>
        <w:contextualSpacing w:val="0"/>
        <w:rPr>
          <w:rFonts w:ascii="Calibri" w:hAnsi="Calibri"/>
        </w:rPr>
      </w:pPr>
      <w:r w:rsidRPr="00303FE4">
        <w:rPr>
          <w:rFonts w:ascii="Calibri" w:hAnsi="Calibri"/>
        </w:rPr>
        <w:t>Monitor for compliance with state and federal statutes and regulations</w:t>
      </w:r>
      <w:r>
        <w:rPr>
          <w:rFonts w:ascii="Calibri" w:hAnsi="Calibri"/>
        </w:rPr>
        <w:t xml:space="preserve"> in accordance with the Uniform Grant Guidance requirement to distinguish between low-risk and high-risk grantees.</w:t>
      </w:r>
    </w:p>
    <w:p w14:paraId="7DD20AFC" w14:textId="77777777" w:rsidR="00BA4A8C" w:rsidRDefault="00BA4A8C" w:rsidP="00BA1524">
      <w:pPr>
        <w:pStyle w:val="ListParagraph"/>
        <w:numPr>
          <w:ilvl w:val="0"/>
          <w:numId w:val="12"/>
        </w:numPr>
        <w:contextualSpacing w:val="0"/>
        <w:rPr>
          <w:rFonts w:ascii="Calibri" w:hAnsi="Calibri"/>
        </w:rPr>
      </w:pPr>
      <w:r w:rsidRPr="00303FE4">
        <w:rPr>
          <w:rFonts w:ascii="Calibri" w:hAnsi="Calibri"/>
        </w:rPr>
        <w:t xml:space="preserve">Work with an external evaluator to conduct evaluation processes </w:t>
      </w:r>
      <w:r>
        <w:rPr>
          <w:rFonts w:ascii="Calibri" w:hAnsi="Calibri"/>
        </w:rPr>
        <w:t xml:space="preserve">and reports </w:t>
      </w:r>
      <w:r w:rsidRPr="00303FE4">
        <w:rPr>
          <w:rFonts w:ascii="Calibri" w:hAnsi="Calibri"/>
        </w:rPr>
        <w:t>that lead to continuous improvement cycles</w:t>
      </w:r>
      <w:r>
        <w:rPr>
          <w:rFonts w:ascii="Calibri" w:hAnsi="Calibri"/>
        </w:rPr>
        <w:t>.</w:t>
      </w:r>
    </w:p>
    <w:p w14:paraId="53BC0C65" w14:textId="77777777" w:rsidR="00BA4A8C" w:rsidRDefault="00BA4A8C" w:rsidP="00365747">
      <w:pPr>
        <w:pStyle w:val="ListParagraph"/>
        <w:ind w:left="0"/>
        <w:contextualSpacing w:val="0"/>
        <w:rPr>
          <w:rFonts w:ascii="Calibri" w:hAnsi="Calibri"/>
        </w:rPr>
      </w:pPr>
      <w:r w:rsidRPr="00C36827">
        <w:rPr>
          <w:rFonts w:ascii="Calibri" w:hAnsi="Calibri"/>
        </w:rPr>
        <w:t>The focus of professional development and technical assistance will be guided by current needs of the grantees, but has recently included STEM, inclusive programming, working with partners, stru</w:t>
      </w:r>
      <w:r>
        <w:rPr>
          <w:rFonts w:ascii="Calibri" w:hAnsi="Calibri"/>
        </w:rPr>
        <w:t>ctured physical activity, hands-</w:t>
      </w:r>
      <w:r w:rsidRPr="00C36827">
        <w:rPr>
          <w:rFonts w:ascii="Calibri" w:hAnsi="Calibri"/>
        </w:rPr>
        <w:t xml:space="preserve">on math, </w:t>
      </w:r>
      <w:r>
        <w:rPr>
          <w:rFonts w:ascii="Calibri" w:hAnsi="Calibri"/>
        </w:rPr>
        <w:t>p</w:t>
      </w:r>
      <w:r w:rsidRPr="00C36827">
        <w:rPr>
          <w:rFonts w:ascii="Calibri" w:hAnsi="Calibri"/>
        </w:rPr>
        <w:t xml:space="preserve">roject </w:t>
      </w:r>
      <w:r>
        <w:rPr>
          <w:rFonts w:ascii="Calibri" w:hAnsi="Calibri"/>
        </w:rPr>
        <w:t>b</w:t>
      </w:r>
      <w:r w:rsidRPr="00C36827">
        <w:rPr>
          <w:rFonts w:ascii="Calibri" w:hAnsi="Calibri"/>
        </w:rPr>
        <w:t xml:space="preserve">ased </w:t>
      </w:r>
      <w:r>
        <w:rPr>
          <w:rFonts w:ascii="Calibri" w:hAnsi="Calibri"/>
        </w:rPr>
        <w:t>l</w:t>
      </w:r>
      <w:r w:rsidRPr="00C36827">
        <w:rPr>
          <w:rFonts w:ascii="Calibri" w:hAnsi="Calibri"/>
        </w:rPr>
        <w:t>earning, culturally-relevant programming, positive youth development, and behavior management.</w:t>
      </w:r>
      <w:r>
        <w:rPr>
          <w:rFonts w:ascii="Calibri" w:hAnsi="Calibri"/>
        </w:rPr>
        <w:t xml:space="preserve"> In the future, professional development for grantees will also be available in the areas of trauma-informed instruction and the use of technology to support individualized student learning, based on current needs. </w:t>
      </w:r>
    </w:p>
    <w:p w14:paraId="044C6A73" w14:textId="3AA48899" w:rsidR="00777634" w:rsidRDefault="00BA4A8C" w:rsidP="00777634">
      <w:pPr>
        <w:pStyle w:val="Heading2"/>
        <w:numPr>
          <w:ilvl w:val="0"/>
          <w:numId w:val="101"/>
        </w:numPr>
      </w:pPr>
      <w:r w:rsidRPr="00F72EC2">
        <w:t xml:space="preserve">Awarding </w:t>
      </w:r>
      <w:proofErr w:type="spellStart"/>
      <w:r w:rsidRPr="00F72EC2">
        <w:t>Subgrants</w:t>
      </w:r>
      <w:proofErr w:type="spellEnd"/>
    </w:p>
    <w:p w14:paraId="23D623D7" w14:textId="0683AB39" w:rsidR="00BA4A8C" w:rsidRPr="00B54273" w:rsidRDefault="00BA4A8C" w:rsidP="00777634">
      <w:pPr>
        <w:pStyle w:val="ListParagraph"/>
        <w:autoSpaceDE w:val="0"/>
        <w:autoSpaceDN w:val="0"/>
        <w:adjustRightInd w:val="0"/>
        <w:ind w:left="360"/>
        <w:rPr>
          <w:rFonts w:ascii="Calibri" w:hAnsi="Calibri" w:cs="Times New Roman"/>
          <w:color w:val="000000"/>
        </w:rPr>
      </w:pPr>
      <w:proofErr w:type="gramStart"/>
      <w:r w:rsidRPr="00B54273">
        <w:rPr>
          <w:rFonts w:ascii="Calibri" w:hAnsi="Calibri" w:cs="Times New Roman"/>
          <w:i/>
          <w:iCs/>
          <w:color w:val="000000"/>
        </w:rPr>
        <w:t xml:space="preserve">(ESEA section 4203(a)(4)): </w:t>
      </w:r>
      <w:r w:rsidRPr="00B54273">
        <w:rPr>
          <w:rFonts w:ascii="Calibri" w:hAnsi="Calibri" w:cs="Times New Roman"/>
          <w:color w:val="000000"/>
        </w:rPr>
        <w:t>Describe the procedures and criteria the SEA will use for reviewing applications and awarding 21</w:t>
      </w:r>
      <w:r w:rsidRPr="00B54273">
        <w:rPr>
          <w:rFonts w:ascii="Calibri" w:hAnsi="Calibri" w:cs="Times New Roman"/>
          <w:color w:val="000000"/>
          <w:sz w:val="14"/>
          <w:szCs w:val="14"/>
        </w:rPr>
        <w:t xml:space="preserve">st </w:t>
      </w:r>
      <w:r w:rsidRPr="00B54273">
        <w:rPr>
          <w:rFonts w:ascii="Calibri" w:hAnsi="Calibri" w:cs="Times New Roman"/>
          <w:color w:val="000000"/>
        </w:rPr>
        <w:t>Century Community Learning Centers 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proofErr w:type="gramEnd"/>
      <w:r w:rsidRPr="00B54273">
        <w:rPr>
          <w:rFonts w:ascii="Calibri" w:hAnsi="Calibri" w:cs="Times New Roman"/>
          <w:color w:val="000000"/>
        </w:rPr>
        <w:t xml:space="preserve"> </w:t>
      </w:r>
    </w:p>
    <w:p w14:paraId="7D2C8159" w14:textId="77777777" w:rsidR="00BA4A8C" w:rsidRDefault="00BA4A8C" w:rsidP="00424E73">
      <w:pPr>
        <w:rPr>
          <w:rFonts w:ascii="Calibri" w:hAnsi="Calibri"/>
        </w:rPr>
      </w:pPr>
      <w:r>
        <w:rPr>
          <w:rFonts w:ascii="Calibri" w:hAnsi="Calibri"/>
        </w:rPr>
        <w:t>DEED</w:t>
      </w:r>
      <w:r w:rsidRPr="00C36827">
        <w:rPr>
          <w:rFonts w:ascii="Calibri" w:hAnsi="Calibri"/>
        </w:rPr>
        <w:t xml:space="preserve"> issues competitive grant aw</w:t>
      </w:r>
      <w:r>
        <w:rPr>
          <w:rFonts w:ascii="Calibri" w:hAnsi="Calibri"/>
        </w:rPr>
        <w:t>ards as outlined in the Request</w:t>
      </w:r>
      <w:r w:rsidRPr="00C36827">
        <w:rPr>
          <w:rFonts w:ascii="Calibri" w:hAnsi="Calibri"/>
        </w:rPr>
        <w:t xml:space="preserve"> for Application</w:t>
      </w:r>
      <w:r>
        <w:rPr>
          <w:rFonts w:ascii="Calibri" w:hAnsi="Calibri"/>
        </w:rPr>
        <w:t xml:space="preserve">s (RFA). </w:t>
      </w:r>
      <w:r w:rsidRPr="00C36827">
        <w:rPr>
          <w:rFonts w:ascii="Calibri" w:hAnsi="Calibri"/>
        </w:rPr>
        <w:t>Each cycle, the 21</w:t>
      </w:r>
      <w:r w:rsidRPr="00C36827">
        <w:rPr>
          <w:rFonts w:ascii="Calibri" w:hAnsi="Calibri"/>
          <w:vertAlign w:val="superscript"/>
        </w:rPr>
        <w:t>st</w:t>
      </w:r>
      <w:r w:rsidRPr="00C36827">
        <w:rPr>
          <w:rFonts w:ascii="Calibri" w:hAnsi="Calibri"/>
        </w:rPr>
        <w:t xml:space="preserve"> CCLC State Director meets with the</w:t>
      </w:r>
      <w:r>
        <w:rPr>
          <w:rFonts w:ascii="Calibri" w:hAnsi="Calibri"/>
        </w:rPr>
        <w:t>ir</w:t>
      </w:r>
      <w:r w:rsidRPr="00C36827">
        <w:rPr>
          <w:rFonts w:ascii="Calibri" w:hAnsi="Calibri"/>
        </w:rPr>
        <w:t xml:space="preserve"> Division Director’s office and aligns any relevant state and national priorities for serving the target populations within the grant application</w:t>
      </w:r>
      <w:r>
        <w:rPr>
          <w:rFonts w:ascii="Calibri" w:hAnsi="Calibri"/>
        </w:rPr>
        <w:t xml:space="preserve">. </w:t>
      </w:r>
      <w:r w:rsidRPr="00C36827">
        <w:rPr>
          <w:rFonts w:ascii="Calibri" w:hAnsi="Calibri"/>
        </w:rPr>
        <w:t xml:space="preserve">The RFA includes </w:t>
      </w:r>
      <w:r w:rsidRPr="00C36827">
        <w:rPr>
          <w:rFonts w:ascii="Calibri" w:hAnsi="Calibri"/>
        </w:rPr>
        <w:lastRenderedPageBreak/>
        <w:t>priorities mandated in federal 21</w:t>
      </w:r>
      <w:r w:rsidRPr="00C36827">
        <w:rPr>
          <w:rFonts w:ascii="Calibri" w:hAnsi="Calibri"/>
          <w:vertAlign w:val="superscript"/>
        </w:rPr>
        <w:t>st</w:t>
      </w:r>
      <w:r w:rsidRPr="00C36827">
        <w:rPr>
          <w:rFonts w:ascii="Calibri" w:hAnsi="Calibri"/>
        </w:rPr>
        <w:t xml:space="preserve"> CCLC statute. Additionally, determinations are made regarding whether to offer additional priority points to boost applications to serve areas or populations that are underserved among the existing 21</w:t>
      </w:r>
      <w:r w:rsidRPr="00C36827">
        <w:rPr>
          <w:rFonts w:ascii="Calibri" w:hAnsi="Calibri"/>
          <w:vertAlign w:val="superscript"/>
        </w:rPr>
        <w:t>st</w:t>
      </w:r>
      <w:r w:rsidRPr="00C36827">
        <w:rPr>
          <w:rFonts w:ascii="Calibri" w:hAnsi="Calibri"/>
        </w:rPr>
        <w:t xml:space="preserve"> CCLC grantees (e.g. high school programs, rural programs) or to encourage applications that will sup</w:t>
      </w:r>
      <w:r>
        <w:rPr>
          <w:rFonts w:ascii="Calibri" w:hAnsi="Calibri"/>
        </w:rPr>
        <w:t>port relevant State initiatives</w:t>
      </w:r>
      <w:r w:rsidRPr="00C36827">
        <w:rPr>
          <w:rFonts w:ascii="Calibri" w:hAnsi="Calibri"/>
        </w:rPr>
        <w:t xml:space="preserve">.  </w:t>
      </w:r>
    </w:p>
    <w:p w14:paraId="403D0E27" w14:textId="77777777" w:rsidR="00BA4A8C" w:rsidRPr="00C36827" w:rsidRDefault="00BA4A8C" w:rsidP="00424E73">
      <w:pPr>
        <w:rPr>
          <w:rFonts w:ascii="Calibri" w:hAnsi="Calibri"/>
        </w:rPr>
      </w:pPr>
      <w:r w:rsidRPr="00C36827">
        <w:rPr>
          <w:rFonts w:ascii="Calibri" w:hAnsi="Calibri"/>
        </w:rPr>
        <w:t xml:space="preserve">Overall, the RFA is designed to promote the academic achievement of the students served through the intentionality of the services outlined. In order to be funded, programs have to </w:t>
      </w:r>
      <w:r>
        <w:rPr>
          <w:rFonts w:ascii="Calibri" w:hAnsi="Calibri"/>
        </w:rPr>
        <w:t xml:space="preserve">primarily </w:t>
      </w:r>
      <w:r w:rsidRPr="00C36827">
        <w:rPr>
          <w:rFonts w:ascii="Calibri" w:hAnsi="Calibri"/>
        </w:rPr>
        <w:t>target</w:t>
      </w:r>
      <w:r>
        <w:rPr>
          <w:rFonts w:ascii="Calibri" w:hAnsi="Calibri"/>
        </w:rPr>
        <w:t xml:space="preserve"> academic improvement and be based upon a current needs assessment. Measures, </w:t>
      </w:r>
      <w:r w:rsidRPr="00C36827">
        <w:rPr>
          <w:rFonts w:ascii="Calibri" w:hAnsi="Calibri"/>
        </w:rPr>
        <w:t>such as improvement of grades or standardized test scores and improved classroom academic and/or social- emotional behaviors</w:t>
      </w:r>
      <w:r>
        <w:rPr>
          <w:rFonts w:ascii="Calibri" w:hAnsi="Calibri"/>
        </w:rPr>
        <w:t>,</w:t>
      </w:r>
      <w:r w:rsidRPr="00C36827">
        <w:rPr>
          <w:rFonts w:ascii="Calibri" w:hAnsi="Calibri"/>
        </w:rPr>
        <w:t xml:space="preserve"> are typically required performance measures for funded proposals.  </w:t>
      </w:r>
    </w:p>
    <w:p w14:paraId="2C0E2BF6" w14:textId="77777777" w:rsidR="00BA4A8C" w:rsidRPr="00C36827" w:rsidRDefault="00BA4A8C" w:rsidP="00424E73">
      <w:pPr>
        <w:rPr>
          <w:rFonts w:ascii="Calibri" w:hAnsi="Calibri"/>
          <w:color w:val="000000"/>
        </w:rPr>
      </w:pPr>
      <w:r w:rsidRPr="00C36827">
        <w:rPr>
          <w:rFonts w:ascii="Calibri" w:hAnsi="Calibri"/>
          <w:color w:val="000000"/>
        </w:rPr>
        <w:t>Although the process may be adjusted or revised for a given year as DEED determines necessary, in general</w:t>
      </w:r>
      <w:r>
        <w:rPr>
          <w:rFonts w:ascii="Calibri" w:hAnsi="Calibri"/>
          <w:color w:val="000000"/>
        </w:rPr>
        <w:t>,</w:t>
      </w:r>
      <w:r w:rsidRPr="00C36827">
        <w:rPr>
          <w:rFonts w:ascii="Calibri" w:hAnsi="Calibri"/>
          <w:color w:val="000000"/>
        </w:rPr>
        <w:t xml:space="preserve"> the RFA review cycle proceeds in the following manner to ensure the quality of funded projects:</w:t>
      </w:r>
    </w:p>
    <w:p w14:paraId="7CEB466B" w14:textId="77777777" w:rsidR="00BA4A8C" w:rsidRPr="00C716E6" w:rsidRDefault="00BA4A8C" w:rsidP="00BA1524">
      <w:pPr>
        <w:pStyle w:val="ListParagraph"/>
        <w:numPr>
          <w:ilvl w:val="0"/>
          <w:numId w:val="13"/>
        </w:numPr>
        <w:ind w:left="360"/>
        <w:rPr>
          <w:rFonts w:ascii="Calibri" w:hAnsi="Calibri"/>
          <w:color w:val="000000"/>
        </w:rPr>
      </w:pPr>
      <w:r w:rsidRPr="00C716E6">
        <w:rPr>
          <w:rFonts w:ascii="Calibri" w:hAnsi="Calibri"/>
          <w:color w:val="000000"/>
        </w:rPr>
        <w:t xml:space="preserve">The release of the RFA is announced through several different methods (e.g. email, website, newspaper). Applicants typically have </w:t>
      </w:r>
      <w:r>
        <w:rPr>
          <w:rFonts w:ascii="Calibri" w:hAnsi="Calibri"/>
          <w:color w:val="000000"/>
        </w:rPr>
        <w:t>six to ten</w:t>
      </w:r>
      <w:r w:rsidRPr="00C716E6">
        <w:rPr>
          <w:rFonts w:ascii="Calibri" w:hAnsi="Calibri"/>
          <w:color w:val="000000"/>
        </w:rPr>
        <w:t xml:space="preserve"> weeks to submit applications. During that time the 21</w:t>
      </w:r>
      <w:r w:rsidRPr="00C716E6">
        <w:rPr>
          <w:rFonts w:ascii="Calibri" w:hAnsi="Calibri"/>
          <w:color w:val="000000"/>
          <w:vertAlign w:val="superscript"/>
        </w:rPr>
        <w:t>st</w:t>
      </w:r>
      <w:r w:rsidRPr="00C716E6">
        <w:rPr>
          <w:rFonts w:ascii="Calibri" w:hAnsi="Calibri"/>
          <w:color w:val="000000"/>
        </w:rPr>
        <w:t xml:space="preserve"> CCLC Program Manager offers technical assistance, primarily via webinar.</w:t>
      </w:r>
    </w:p>
    <w:p w14:paraId="45234808" w14:textId="77777777" w:rsidR="00BA4A8C" w:rsidRPr="00C716E6" w:rsidRDefault="00BA4A8C" w:rsidP="00BA1524">
      <w:pPr>
        <w:pStyle w:val="ListParagraph"/>
        <w:numPr>
          <w:ilvl w:val="0"/>
          <w:numId w:val="13"/>
        </w:numPr>
        <w:ind w:left="360"/>
        <w:rPr>
          <w:rFonts w:ascii="Calibri" w:hAnsi="Calibri"/>
          <w:color w:val="000000"/>
        </w:rPr>
      </w:pPr>
      <w:r>
        <w:rPr>
          <w:rFonts w:ascii="Calibri" w:hAnsi="Calibri"/>
          <w:color w:val="000000"/>
        </w:rPr>
        <w:t>With approval of DEED’s Commissioner of Education, t</w:t>
      </w:r>
      <w:r w:rsidRPr="00C716E6">
        <w:rPr>
          <w:rFonts w:ascii="Calibri" w:hAnsi="Calibri"/>
          <w:color w:val="000000"/>
        </w:rPr>
        <w:t>he Program Manager assembles a balanced review team that will ideally have strong knowledge of best practices in education and afterschool, positive youth development</w:t>
      </w:r>
      <w:r>
        <w:rPr>
          <w:rFonts w:ascii="Calibri" w:hAnsi="Calibri"/>
          <w:color w:val="000000"/>
        </w:rPr>
        <w:t>, and grant management, as well</w:t>
      </w:r>
      <w:r w:rsidRPr="00C716E6">
        <w:rPr>
          <w:rFonts w:ascii="Calibri" w:hAnsi="Calibri"/>
          <w:color w:val="000000"/>
        </w:rPr>
        <w:t xml:space="preserve"> as awareness of the unique challenges faced in rural Alaska. All reviewers must be free from conflict of interest</w:t>
      </w:r>
      <w:r>
        <w:rPr>
          <w:rFonts w:ascii="Calibri" w:hAnsi="Calibri"/>
          <w:color w:val="000000"/>
        </w:rPr>
        <w:t>, as defined by Alaska Statute.</w:t>
      </w:r>
    </w:p>
    <w:p w14:paraId="1212731F" w14:textId="77777777" w:rsidR="00BA4A8C" w:rsidRPr="00C716E6" w:rsidRDefault="00BA4A8C" w:rsidP="00BA1524">
      <w:pPr>
        <w:pStyle w:val="ListParagraph"/>
        <w:numPr>
          <w:ilvl w:val="0"/>
          <w:numId w:val="13"/>
        </w:numPr>
        <w:ind w:left="360"/>
        <w:rPr>
          <w:rFonts w:ascii="Calibri" w:hAnsi="Calibri"/>
          <w:color w:val="000000"/>
        </w:rPr>
      </w:pPr>
      <w:r w:rsidRPr="00C716E6">
        <w:rPr>
          <w:rFonts w:ascii="Calibri" w:hAnsi="Calibri"/>
          <w:color w:val="000000"/>
        </w:rPr>
        <w:t>Reviewers are gathered initially to go through the RFA and receive training on topics such as the scoring rubric and eligible point values, applicants and potential conflicts of interest</w:t>
      </w:r>
      <w:r>
        <w:rPr>
          <w:rFonts w:ascii="Calibri" w:hAnsi="Calibri"/>
          <w:color w:val="000000"/>
        </w:rPr>
        <w:t>, a</w:t>
      </w:r>
      <w:r w:rsidRPr="00C716E6">
        <w:rPr>
          <w:rFonts w:ascii="Calibri" w:hAnsi="Calibri"/>
          <w:color w:val="000000"/>
        </w:rPr>
        <w:t>ll written comments becom</w:t>
      </w:r>
      <w:r>
        <w:rPr>
          <w:rFonts w:ascii="Calibri" w:hAnsi="Calibri"/>
          <w:color w:val="000000"/>
        </w:rPr>
        <w:t>ing</w:t>
      </w:r>
      <w:r w:rsidRPr="00C716E6">
        <w:rPr>
          <w:rFonts w:ascii="Calibri" w:hAnsi="Calibri"/>
          <w:color w:val="000000"/>
        </w:rPr>
        <w:t xml:space="preserve"> public property, and guidance about </w:t>
      </w:r>
      <w:r>
        <w:rPr>
          <w:rFonts w:ascii="Calibri" w:hAnsi="Calibri"/>
          <w:color w:val="000000"/>
        </w:rPr>
        <w:t>DEED</w:t>
      </w:r>
      <w:r w:rsidRPr="00C716E6">
        <w:rPr>
          <w:rFonts w:ascii="Calibri" w:hAnsi="Calibri"/>
          <w:color w:val="000000"/>
        </w:rPr>
        <w:t xml:space="preserve"> priority points for that RFA.</w:t>
      </w:r>
    </w:p>
    <w:p w14:paraId="22170E3F" w14:textId="77777777" w:rsidR="00BA4A8C" w:rsidRPr="00C716E6" w:rsidRDefault="00BA4A8C" w:rsidP="00BA1524">
      <w:pPr>
        <w:pStyle w:val="ListParagraph"/>
        <w:numPr>
          <w:ilvl w:val="0"/>
          <w:numId w:val="13"/>
        </w:numPr>
        <w:ind w:left="360"/>
        <w:rPr>
          <w:rFonts w:ascii="Calibri" w:hAnsi="Calibri"/>
          <w:color w:val="000000"/>
        </w:rPr>
      </w:pPr>
      <w:r w:rsidRPr="00C716E6">
        <w:rPr>
          <w:rFonts w:ascii="Calibri" w:hAnsi="Calibri"/>
          <w:color w:val="000000"/>
        </w:rPr>
        <w:t>The 21</w:t>
      </w:r>
      <w:r w:rsidRPr="00C716E6">
        <w:rPr>
          <w:rFonts w:ascii="Calibri" w:hAnsi="Calibri"/>
          <w:color w:val="000000"/>
          <w:vertAlign w:val="superscript"/>
        </w:rPr>
        <w:t>st</w:t>
      </w:r>
      <w:r w:rsidRPr="00C716E6">
        <w:rPr>
          <w:rFonts w:ascii="Calibri" w:hAnsi="Calibri"/>
          <w:color w:val="000000"/>
        </w:rPr>
        <w:t xml:space="preserve"> CCLC Program Manager verifies the applications meet the eligibility criteria expressed in the competitive RFA, such as the page limitations, deadline date for submission, and priority points. Reviewers are given all eligible grant applications and are generally given </w:t>
      </w:r>
      <w:r>
        <w:rPr>
          <w:rFonts w:ascii="Calibri" w:hAnsi="Calibri"/>
          <w:color w:val="000000"/>
        </w:rPr>
        <w:t>two to four</w:t>
      </w:r>
      <w:r w:rsidRPr="00C716E6">
        <w:rPr>
          <w:rFonts w:ascii="Calibri" w:hAnsi="Calibri"/>
          <w:color w:val="000000"/>
        </w:rPr>
        <w:t xml:space="preserve"> weeks to review and initially score/rank all proposals. </w:t>
      </w:r>
      <w:r>
        <w:rPr>
          <w:rFonts w:ascii="Calibri" w:hAnsi="Calibri"/>
          <w:color w:val="000000"/>
        </w:rPr>
        <w:t>(While we prefer all reviewers to review and score all applications, if DEED receives an overwhelming number of applications, the scoring process will be revised to use a two-tier scoring process.)</w:t>
      </w:r>
      <w:r w:rsidRPr="00C716E6">
        <w:rPr>
          <w:rFonts w:ascii="Calibri" w:hAnsi="Calibri"/>
          <w:color w:val="000000"/>
        </w:rPr>
        <w:t xml:space="preserve"> Prior to the date of </w:t>
      </w:r>
      <w:r>
        <w:rPr>
          <w:rFonts w:ascii="Calibri" w:hAnsi="Calibri"/>
          <w:color w:val="000000"/>
        </w:rPr>
        <w:t xml:space="preserve">the final </w:t>
      </w:r>
      <w:r w:rsidRPr="00C716E6">
        <w:rPr>
          <w:rFonts w:ascii="Calibri" w:hAnsi="Calibri"/>
          <w:color w:val="000000"/>
        </w:rPr>
        <w:t>review, all reviewers provide their initial scores on each application to the Program Manager. These scores are loaded into a spreadsheet so that the sum totals c</w:t>
      </w:r>
      <w:r>
        <w:rPr>
          <w:rFonts w:ascii="Calibri" w:hAnsi="Calibri"/>
          <w:color w:val="000000"/>
        </w:rPr>
        <w:t>an be viewed during the review.</w:t>
      </w:r>
    </w:p>
    <w:p w14:paraId="77C849A0" w14:textId="77777777" w:rsidR="00BA4A8C" w:rsidRPr="00270DA6" w:rsidRDefault="00BA4A8C" w:rsidP="00BA1524">
      <w:pPr>
        <w:pStyle w:val="ListParagraph"/>
        <w:numPr>
          <w:ilvl w:val="0"/>
          <w:numId w:val="13"/>
        </w:numPr>
        <w:ind w:left="360"/>
        <w:rPr>
          <w:rFonts w:ascii="Calibri" w:hAnsi="Calibri"/>
          <w:color w:val="000000"/>
        </w:rPr>
      </w:pPr>
      <w:r w:rsidRPr="00270DA6">
        <w:rPr>
          <w:rFonts w:ascii="Calibri" w:hAnsi="Calibri"/>
          <w:color w:val="000000"/>
        </w:rPr>
        <w:t xml:space="preserve">Reviewers gather and the Program Manager facilitates the conversation around each application, providing an opportunity to have reviewers provide feedback for improvement or questions regarding each section. These comments may be provided to the applicants along with their scores. Where there are significant scoring differences, the program manager facilitates a conversation around the scores, and reviewers are given an opportunity to change their scores based on the discovery of information or lack thereof. Once the scores are adjusted based on the conversation, the spreadsheet is revised for the new values, displaying the applicants based on the total number of scoring points high to low. The reviewers then look at the eligible applicants and their request for funding, deducting each fiscal request until there are no more funds available. Reviewers may eliminate budgetary items </w:t>
      </w:r>
      <w:r>
        <w:rPr>
          <w:rFonts w:ascii="Calibri" w:hAnsi="Calibri"/>
          <w:color w:val="000000"/>
        </w:rPr>
        <w:t xml:space="preserve">that are beyond the scope of the project or recommend reductions to the funding levels of individual applicants to reflect the total funding amount available for the top scoring applicant(s). </w:t>
      </w:r>
      <w:r w:rsidRPr="00270DA6">
        <w:rPr>
          <w:rFonts w:ascii="Calibri" w:hAnsi="Calibri"/>
          <w:color w:val="000000"/>
        </w:rPr>
        <w:t xml:space="preserve"> </w:t>
      </w:r>
    </w:p>
    <w:p w14:paraId="54C7D6E7" w14:textId="78373576" w:rsidR="00BA4A8C" w:rsidRPr="00C716E6" w:rsidRDefault="00BA4A8C" w:rsidP="00777634">
      <w:pPr>
        <w:tabs>
          <w:tab w:val="left" w:pos="1176"/>
        </w:tabs>
        <w:rPr>
          <w:rFonts w:ascii="Calibri" w:hAnsi="Calibri"/>
          <w:color w:val="000000"/>
        </w:rPr>
      </w:pPr>
      <w:r>
        <w:rPr>
          <w:rFonts w:ascii="Calibri" w:hAnsi="Calibri"/>
          <w:color w:val="000000"/>
        </w:rPr>
        <w:lastRenderedPageBreak/>
        <w:t>The process and recommendations of the review team are reviewed with the Director of Student Learning. T</w:t>
      </w:r>
      <w:r w:rsidRPr="00C716E6">
        <w:rPr>
          <w:rFonts w:ascii="Calibri" w:hAnsi="Calibri"/>
          <w:color w:val="000000"/>
        </w:rPr>
        <w:t xml:space="preserve">he </w:t>
      </w:r>
      <w:r>
        <w:rPr>
          <w:rFonts w:ascii="Calibri" w:hAnsi="Calibri"/>
          <w:color w:val="000000"/>
        </w:rPr>
        <w:t xml:space="preserve">final </w:t>
      </w:r>
      <w:r w:rsidRPr="00C716E6">
        <w:rPr>
          <w:rFonts w:ascii="Calibri" w:hAnsi="Calibri"/>
          <w:color w:val="000000"/>
        </w:rPr>
        <w:t xml:space="preserve">recommendations are forwarded through the Director’s Office to the Commissioner of Education </w:t>
      </w:r>
      <w:r>
        <w:rPr>
          <w:rFonts w:ascii="Calibri" w:hAnsi="Calibri"/>
          <w:color w:val="000000"/>
        </w:rPr>
        <w:t xml:space="preserve">and Early Development </w:t>
      </w:r>
      <w:r w:rsidRPr="00C716E6">
        <w:rPr>
          <w:rFonts w:ascii="Calibri" w:hAnsi="Calibri"/>
          <w:color w:val="000000"/>
        </w:rPr>
        <w:t xml:space="preserve">for final approval of release.  </w:t>
      </w:r>
    </w:p>
    <w:p w14:paraId="4A088FE2" w14:textId="77777777" w:rsidR="00BA4A8C" w:rsidRPr="00C716E6" w:rsidRDefault="00BA4A8C" w:rsidP="00BA1524">
      <w:pPr>
        <w:pStyle w:val="ListParagraph"/>
        <w:numPr>
          <w:ilvl w:val="0"/>
          <w:numId w:val="13"/>
        </w:numPr>
        <w:ind w:left="360"/>
        <w:rPr>
          <w:rFonts w:ascii="Calibri" w:hAnsi="Calibri"/>
          <w:color w:val="000000"/>
        </w:rPr>
      </w:pPr>
      <w:r w:rsidRPr="00C716E6">
        <w:rPr>
          <w:rFonts w:ascii="Calibri" w:hAnsi="Calibri"/>
          <w:color w:val="000000"/>
        </w:rPr>
        <w:t>All applicants are notified of the funding decisions and scores are provided. Successful applicants are sent a Notice of Intent to award. If applicable, the Program Manager may request a revised budget that addresses items such as unallowable or excessive costs that may have been identified during the review process. Within the RFA</w:t>
      </w:r>
      <w:r>
        <w:rPr>
          <w:rFonts w:ascii="Calibri" w:hAnsi="Calibri"/>
          <w:color w:val="000000"/>
        </w:rPr>
        <w:t>,</w:t>
      </w:r>
      <w:r w:rsidRPr="00C716E6">
        <w:rPr>
          <w:rFonts w:ascii="Calibri" w:hAnsi="Calibri"/>
          <w:color w:val="000000"/>
        </w:rPr>
        <w:t xml:space="preserve"> all applicants are made aware of Alaska’s funding appeals process that is set by Alaska Administrative Code. No final awards are issued until after 30 days have passed without any applicant filing an official appeal.  </w:t>
      </w:r>
    </w:p>
    <w:p w14:paraId="17B2A4EB" w14:textId="46E4C143" w:rsidR="00777634" w:rsidRDefault="00BA4A8C" w:rsidP="00777634">
      <w:pPr>
        <w:autoSpaceDE w:val="0"/>
        <w:autoSpaceDN w:val="0"/>
        <w:adjustRightInd w:val="0"/>
        <w:rPr>
          <w:rFonts w:ascii="Calibri" w:hAnsi="Calibri" w:cs="Times New Roman"/>
          <w:color w:val="000000"/>
        </w:rPr>
      </w:pPr>
      <w:r w:rsidRPr="00A366EA">
        <w:rPr>
          <w:rFonts w:ascii="Calibri" w:hAnsi="Calibri"/>
          <w:color w:val="000000"/>
        </w:rPr>
        <w:t xml:space="preserve">Through the process </w:t>
      </w:r>
      <w:r>
        <w:rPr>
          <w:rFonts w:ascii="Calibri" w:hAnsi="Calibri"/>
          <w:color w:val="000000"/>
        </w:rPr>
        <w:t xml:space="preserve">described </w:t>
      </w:r>
      <w:r w:rsidRPr="00A366EA">
        <w:rPr>
          <w:rFonts w:ascii="Calibri" w:hAnsi="Calibri"/>
          <w:color w:val="000000"/>
        </w:rPr>
        <w:t xml:space="preserve">above, Alaska is able to select entities that are best able to operate community learning centers that </w:t>
      </w:r>
      <w:r w:rsidRPr="00A366EA">
        <w:rPr>
          <w:rFonts w:ascii="Calibri" w:hAnsi="Calibri" w:cs="Times New Roman"/>
          <w:color w:val="000000"/>
        </w:rPr>
        <w:t>help participating students meet the chall</w:t>
      </w:r>
      <w:r>
        <w:rPr>
          <w:rFonts w:ascii="Calibri" w:hAnsi="Calibri" w:cs="Times New Roman"/>
          <w:color w:val="000000"/>
        </w:rPr>
        <w:t xml:space="preserve">enging State academic standards, as well as </w:t>
      </w:r>
      <w:r w:rsidRPr="00A366EA">
        <w:rPr>
          <w:rFonts w:ascii="Calibri" w:hAnsi="Calibri" w:cs="Times New Roman"/>
          <w:color w:val="000000"/>
        </w:rPr>
        <w:t>local academic standards.</w:t>
      </w:r>
      <w:r w:rsidR="00777634">
        <w:rPr>
          <w:rFonts w:ascii="Calibri" w:hAnsi="Calibri" w:cs="Times New Roman"/>
          <w:color w:val="000000"/>
        </w:rPr>
        <w:br w:type="page"/>
      </w:r>
    </w:p>
    <w:p w14:paraId="1339095E" w14:textId="72B0BEF4" w:rsidR="00FC293A" w:rsidRDefault="00FC293A" w:rsidP="00FC293A">
      <w:pPr>
        <w:pStyle w:val="Heading1"/>
      </w:pPr>
      <w:bookmarkStart w:id="16" w:name="_Toc6231633"/>
      <w:r>
        <w:lastRenderedPageBreak/>
        <w:t>H. Title V, Part B, Subpart 2: Rural and Low-Income School Program</w:t>
      </w:r>
      <w:bookmarkEnd w:id="16"/>
    </w:p>
    <w:p w14:paraId="19DFE961" w14:textId="26332FEB" w:rsidR="00777634" w:rsidRPr="00777634" w:rsidRDefault="00BA4A8C" w:rsidP="0033601F">
      <w:pPr>
        <w:pStyle w:val="ListParagraph"/>
        <w:numPr>
          <w:ilvl w:val="0"/>
          <w:numId w:val="102"/>
        </w:numPr>
        <w:spacing w:after="0"/>
        <w:ind w:left="1440"/>
        <w:rPr>
          <w:rFonts w:ascii="Calibri" w:hAnsi="Calibri"/>
          <w:b/>
        </w:rPr>
      </w:pPr>
      <w:r w:rsidRPr="00777634">
        <w:rPr>
          <w:rFonts w:ascii="Calibri" w:hAnsi="Calibri"/>
          <w:b/>
        </w:rPr>
        <w:t>O</w:t>
      </w:r>
      <w:r w:rsidR="00777634" w:rsidRPr="00777634">
        <w:rPr>
          <w:rFonts w:ascii="Calibri" w:hAnsi="Calibri"/>
          <w:b/>
        </w:rPr>
        <w:t>utcomes and Objectives</w:t>
      </w:r>
    </w:p>
    <w:p w14:paraId="50FA7B34" w14:textId="255DC875" w:rsidR="00BA4A8C" w:rsidRPr="00A306F8" w:rsidRDefault="00BA4A8C" w:rsidP="00777634">
      <w:pPr>
        <w:ind w:left="1080"/>
        <w:rPr>
          <w:rFonts w:ascii="Calibri" w:hAnsi="Calibri"/>
        </w:rPr>
      </w:pPr>
      <w:r w:rsidRPr="00A306F8">
        <w:rPr>
          <w:rFonts w:ascii="Calibri" w:hAnsi="Calibri"/>
          <w:i/>
        </w:rPr>
        <w:t>(ESSA Section 5223(b</w:t>
      </w:r>
      <w:proofErr w:type="gramStart"/>
      <w:r w:rsidRPr="00A306F8">
        <w:rPr>
          <w:rFonts w:ascii="Calibri" w:hAnsi="Calibri"/>
          <w:i/>
        </w:rPr>
        <w:t>)(</w:t>
      </w:r>
      <w:proofErr w:type="gramEnd"/>
      <w:r w:rsidRPr="00A306F8">
        <w:rPr>
          <w:rFonts w:ascii="Calibri" w:hAnsi="Calibri"/>
          <w:i/>
        </w:rPr>
        <w:t xml:space="preserve">1)): </w:t>
      </w:r>
      <w:r w:rsidRPr="00A306F8">
        <w:rPr>
          <w:rFonts w:ascii="Calibri" w:hAnsi="Calibri"/>
        </w:rPr>
        <w:t>Provide information on program objectives and outcomes for activities under Title V, Part B, Subpart 2, including how the SEA will use funds to help all students meet the challenging State standards.</w:t>
      </w:r>
    </w:p>
    <w:p w14:paraId="4AA1E5C6" w14:textId="77777777" w:rsidR="00BA4A8C" w:rsidRPr="00A306F8" w:rsidRDefault="00BA4A8C" w:rsidP="00424E73">
      <w:r w:rsidRPr="00A306F8">
        <w:t>Alaska is not applying to receive and administer</w:t>
      </w:r>
      <w:r>
        <w:t xml:space="preserve"> Rural and Low-Income School Program (</w:t>
      </w:r>
      <w:r w:rsidRPr="00A306F8">
        <w:t>RLIS</w:t>
      </w:r>
      <w:r>
        <w:t>)</w:t>
      </w:r>
      <w:r w:rsidRPr="00A306F8">
        <w:t xml:space="preserve"> funds to eligible </w:t>
      </w:r>
      <w:r>
        <w:t>district</w:t>
      </w:r>
      <w:r w:rsidRPr="00A306F8">
        <w:t>s, and therefore</w:t>
      </w:r>
      <w:r>
        <w:t>,</w:t>
      </w:r>
      <w:r w:rsidRPr="00A306F8">
        <w:t xml:space="preserve"> will not set </w:t>
      </w:r>
      <w:r>
        <w:t>S</w:t>
      </w:r>
      <w:r w:rsidRPr="00A306F8">
        <w:t>tate-level program objectives and outcomes for RLIS-funded activities. Instead, as provided in ESSA section 5221, (a)(3)(A) and (C), Alaska will allow US ED to d</w:t>
      </w:r>
      <w:r>
        <w:t>istribute these</w:t>
      </w:r>
      <w:r w:rsidRPr="00A306F8">
        <w:t xml:space="preserve"> funds directly to Alaska’s eligible </w:t>
      </w:r>
      <w:r>
        <w:t>district</w:t>
      </w:r>
      <w:r w:rsidRPr="00A306F8">
        <w:t xml:space="preserve">s beginning in the </w:t>
      </w:r>
      <w:r>
        <w:t>20</w:t>
      </w:r>
      <w:r w:rsidRPr="00A306F8">
        <w:t xml:space="preserve">17-18 school year.  This will enable each eligible </w:t>
      </w:r>
      <w:r>
        <w:t>district</w:t>
      </w:r>
      <w:r w:rsidRPr="00A306F8">
        <w:t xml:space="preserve"> the opportunity to set relevant and individual district-specific objectives and outcomes when describing how the RLIS funds will help their students meet the challenging State standards. </w:t>
      </w:r>
      <w:r>
        <w:t>DEED</w:t>
      </w:r>
      <w:r w:rsidRPr="00A306F8">
        <w:t xml:space="preserve"> believe</w:t>
      </w:r>
      <w:r>
        <w:t>s</w:t>
      </w:r>
      <w:r w:rsidRPr="00A306F8">
        <w:t xml:space="preserve"> this will also help districts to better use this small amount of funding by making it easier to blend and coordinate it with other district-specific funding and initiatives.</w:t>
      </w:r>
    </w:p>
    <w:p w14:paraId="459F1D2F" w14:textId="77777777" w:rsidR="00BA4A8C" w:rsidRPr="00A306F8" w:rsidRDefault="00BA4A8C" w:rsidP="00E92BDF">
      <w:r w:rsidRPr="00A306F8">
        <w:t xml:space="preserve">Due to changes brought about by ESSA, approximately 25 of 54 Alaska districts will have the option and necessity to </w:t>
      </w:r>
      <w:r w:rsidRPr="00A306F8">
        <w:rPr>
          <w:i/>
        </w:rPr>
        <w:t>choose</w:t>
      </w:r>
      <w:r w:rsidRPr="00A306F8">
        <w:t xml:space="preserve"> between receiving the US ED-administered </w:t>
      </w:r>
      <w:r>
        <w:t>Small, Rural School Achievement (</w:t>
      </w:r>
      <w:r w:rsidRPr="00A306F8">
        <w:t>SRSA</w:t>
      </w:r>
      <w:r>
        <w:t>)</w:t>
      </w:r>
      <w:r w:rsidRPr="00A306F8">
        <w:t xml:space="preserve"> grant or the RLIS grant. Because of eligibility for RLIS being </w:t>
      </w:r>
      <w:r w:rsidRPr="00A306F8">
        <w:rPr>
          <w:i/>
        </w:rPr>
        <w:t>dependent</w:t>
      </w:r>
      <w:r>
        <w:t xml:space="preserve"> upon whether a</w:t>
      </w:r>
      <w:r w:rsidRPr="00A306F8">
        <w:t xml:space="preserve"> </w:t>
      </w:r>
      <w:r>
        <w:t>district</w:t>
      </w:r>
      <w:r w:rsidRPr="00A306F8">
        <w:t xml:space="preserve"> applied to US ED for SRSA funding, it seems more logical for </w:t>
      </w:r>
      <w:r>
        <w:t>Alaska district</w:t>
      </w:r>
      <w:r w:rsidRPr="00A306F8">
        <w:t>s to simply apply to US ED for RLIS funds, too, instead of to DEED.</w:t>
      </w:r>
    </w:p>
    <w:p w14:paraId="582120D9" w14:textId="77777777" w:rsidR="00777634" w:rsidRDefault="00BA4A8C" w:rsidP="00777634">
      <w:pPr>
        <w:pStyle w:val="ListParagraph"/>
        <w:numPr>
          <w:ilvl w:val="0"/>
          <w:numId w:val="102"/>
        </w:numPr>
        <w:spacing w:after="160"/>
        <w:ind w:left="1440"/>
        <w:rPr>
          <w:rFonts w:ascii="Calibri" w:hAnsi="Calibri"/>
        </w:rPr>
      </w:pPr>
      <w:r w:rsidRPr="00777634">
        <w:rPr>
          <w:rFonts w:ascii="Calibri" w:hAnsi="Calibri"/>
          <w:b/>
        </w:rPr>
        <w:t>Technical Assistance</w:t>
      </w:r>
    </w:p>
    <w:p w14:paraId="2AA3FB2A" w14:textId="3DAE05CB" w:rsidR="00BA4A8C" w:rsidRPr="00777634" w:rsidRDefault="00BA4A8C" w:rsidP="00777634">
      <w:pPr>
        <w:pStyle w:val="ListParagraph"/>
        <w:spacing w:after="160"/>
        <w:ind w:left="1440"/>
        <w:rPr>
          <w:rFonts w:ascii="Calibri" w:hAnsi="Calibri"/>
        </w:rPr>
      </w:pPr>
      <w:r w:rsidRPr="00777634">
        <w:rPr>
          <w:rFonts w:ascii="Calibri" w:hAnsi="Calibri"/>
          <w:i/>
        </w:rPr>
        <w:t>(ESEA section 5223(b</w:t>
      </w:r>
      <w:proofErr w:type="gramStart"/>
      <w:r w:rsidRPr="00777634">
        <w:rPr>
          <w:rFonts w:ascii="Calibri" w:hAnsi="Calibri"/>
          <w:i/>
        </w:rPr>
        <w:t>)(</w:t>
      </w:r>
      <w:proofErr w:type="gramEnd"/>
      <w:r w:rsidRPr="00777634">
        <w:rPr>
          <w:rFonts w:ascii="Calibri" w:hAnsi="Calibri"/>
          <w:i/>
        </w:rPr>
        <w:t>3)):</w:t>
      </w:r>
      <w:r w:rsidRPr="00777634">
        <w:rPr>
          <w:rFonts w:ascii="Calibri" w:hAnsi="Calibri"/>
        </w:rPr>
        <w:t xml:space="preserve"> Describe how the SEA will provide technical assistance to eligible LEAs to help such agencies implement the activities described in ESEA section 5222.</w:t>
      </w:r>
    </w:p>
    <w:p w14:paraId="6FE74329" w14:textId="7A5EE2C4" w:rsidR="0033601F" w:rsidRDefault="00BA4A8C" w:rsidP="00424E73">
      <w:r w:rsidRPr="00A306F8">
        <w:t xml:space="preserve">Alaska is not applying to receive and administer RLIS funds to eligible </w:t>
      </w:r>
      <w:r>
        <w:t>districts</w:t>
      </w:r>
      <w:r w:rsidRPr="00A306F8">
        <w:t xml:space="preserve"> and instead will allow US ED to distribute </w:t>
      </w:r>
      <w:r>
        <w:t>the</w:t>
      </w:r>
      <w:r w:rsidRPr="00A306F8">
        <w:t xml:space="preserve"> funds directly to Alaska’s eligible </w:t>
      </w:r>
      <w:r>
        <w:t>district</w:t>
      </w:r>
      <w:r w:rsidRPr="00A306F8">
        <w:t xml:space="preserve">s beginning in the </w:t>
      </w:r>
      <w:r>
        <w:t xml:space="preserve">2017-18 school year. </w:t>
      </w:r>
      <w:r w:rsidRPr="00A306F8">
        <w:t>DEED will provide</w:t>
      </w:r>
      <w:r>
        <w:t xml:space="preserve"> information to Alaska districts</w:t>
      </w:r>
      <w:r w:rsidRPr="00A306F8">
        <w:t xml:space="preserve"> to help </w:t>
      </w:r>
      <w:r>
        <w:t>them</w:t>
      </w:r>
      <w:r w:rsidRPr="00A306F8">
        <w:t xml:space="preserve"> understand their eligibility</w:t>
      </w:r>
      <w:r>
        <w:t>.</w:t>
      </w:r>
      <w:r w:rsidR="0033601F">
        <w:br w:type="page"/>
      </w:r>
    </w:p>
    <w:p w14:paraId="1A458ABB" w14:textId="77777777" w:rsidR="005017F4" w:rsidRDefault="00FC293A" w:rsidP="006641B6">
      <w:pPr>
        <w:pStyle w:val="Heading1"/>
        <w:numPr>
          <w:ilvl w:val="0"/>
          <w:numId w:val="81"/>
        </w:numPr>
      </w:pPr>
      <w:bookmarkStart w:id="17" w:name="_Toc6231634"/>
      <w:r>
        <w:lastRenderedPageBreak/>
        <w:t>Education for Homel</w:t>
      </w:r>
      <w:r w:rsidR="005017F4">
        <w:t>ess Children and Youth program</w:t>
      </w:r>
    </w:p>
    <w:p w14:paraId="4F5F66B2" w14:textId="2EAC1244" w:rsidR="00FC293A" w:rsidRPr="005017F4" w:rsidRDefault="00FC293A" w:rsidP="005017F4">
      <w:pPr>
        <w:ind w:firstLine="360"/>
        <w:rPr>
          <w:b/>
          <w:sz w:val="32"/>
          <w:szCs w:val="32"/>
        </w:rPr>
      </w:pPr>
      <w:r w:rsidRPr="005017F4">
        <w:rPr>
          <w:b/>
          <w:sz w:val="32"/>
          <w:szCs w:val="32"/>
        </w:rPr>
        <w:t>McKinney-Vento Homeless Assistance Act, Title VII, Subtitle B</w:t>
      </w:r>
      <w:bookmarkEnd w:id="17"/>
    </w:p>
    <w:p w14:paraId="38F11F2C" w14:textId="3796033E" w:rsidR="0033601F" w:rsidRPr="0033601F" w:rsidRDefault="00BA4A8C" w:rsidP="0033601F">
      <w:pPr>
        <w:pStyle w:val="Heading2"/>
        <w:numPr>
          <w:ilvl w:val="3"/>
          <w:numId w:val="56"/>
        </w:numPr>
        <w:ind w:left="900"/>
        <w:rPr>
          <w:rFonts w:eastAsiaTheme="minorHAnsi" w:cstheme="minorBidi"/>
        </w:rPr>
      </w:pPr>
      <w:r w:rsidRPr="006E7A79">
        <w:rPr>
          <w:rFonts w:eastAsia="Times New Roman"/>
        </w:rPr>
        <w:t>Student Identification</w:t>
      </w:r>
    </w:p>
    <w:p w14:paraId="56850853" w14:textId="40B69EA6" w:rsidR="00BA4A8C" w:rsidRPr="006E7A79" w:rsidRDefault="00BA4A8C" w:rsidP="0033601F">
      <w:pPr>
        <w:pStyle w:val="ListParagraph"/>
        <w:spacing w:after="160"/>
        <w:rPr>
          <w:rFonts w:ascii="Calibri" w:hAnsi="Calibri"/>
        </w:rPr>
      </w:pPr>
      <w:r w:rsidRPr="006E7A79">
        <w:rPr>
          <w:rFonts w:ascii="Calibri" w:eastAsia="Times New Roman" w:hAnsi="Calibri" w:cs="Times New Roman"/>
          <w:i/>
        </w:rPr>
        <w:t>(</w:t>
      </w:r>
      <w:r w:rsidRPr="006E7A79">
        <w:rPr>
          <w:rFonts w:ascii="Calibri" w:hAnsi="Calibri" w:cs="Times New Roman"/>
          <w:i/>
        </w:rPr>
        <w:t>722(g</w:t>
      </w:r>
      <w:proofErr w:type="gramStart"/>
      <w:r w:rsidRPr="006E7A79">
        <w:rPr>
          <w:rFonts w:ascii="Calibri" w:hAnsi="Calibri" w:cs="Times New Roman"/>
          <w:i/>
        </w:rPr>
        <w:t>)(</w:t>
      </w:r>
      <w:proofErr w:type="gramEnd"/>
      <w:r w:rsidRPr="006E7A79">
        <w:rPr>
          <w:rFonts w:ascii="Calibri" w:hAnsi="Calibri" w:cs="Times New Roman"/>
          <w:i/>
        </w:rPr>
        <w:t>1)(B) of the McKinney-Vento Act)</w:t>
      </w:r>
      <w:r w:rsidRPr="006E7A79">
        <w:rPr>
          <w:rFonts w:ascii="Calibri" w:hAnsi="Calibri" w:cs="Times New Roman"/>
        </w:rPr>
        <w:t>:</w:t>
      </w:r>
      <w:r w:rsidRPr="006E7A79">
        <w:rPr>
          <w:rFonts w:ascii="Calibri" w:eastAsia="Times New Roman" w:hAnsi="Calibri" w:cs="Times New Roman"/>
        </w:rPr>
        <w:t xml:space="preserve"> Describe the procedures the SEA will use to identify homeless children and youth in the State and to assess their needs.</w:t>
      </w:r>
    </w:p>
    <w:p w14:paraId="489D306B" w14:textId="77777777" w:rsidR="00BA4A8C" w:rsidRDefault="00BA4A8C" w:rsidP="00424E73">
      <w:pPr>
        <w:rPr>
          <w:rFonts w:ascii="Calibri" w:hAnsi="Calibri"/>
        </w:rPr>
      </w:pPr>
      <w:r>
        <w:rPr>
          <w:rFonts w:ascii="Calibri" w:hAnsi="Calibri"/>
        </w:rPr>
        <w:t>DEED will provide technical assistance and guidance to districts and schools on the identification of homeless students.</w:t>
      </w:r>
    </w:p>
    <w:p w14:paraId="1DE4A39A" w14:textId="77777777" w:rsidR="00BA4A8C" w:rsidRPr="00ED341A" w:rsidRDefault="00BA4A8C" w:rsidP="00424E73">
      <w:pPr>
        <w:rPr>
          <w:rFonts w:ascii="Calibri" w:hAnsi="Calibri"/>
          <w:b/>
        </w:rPr>
      </w:pPr>
      <w:r w:rsidRPr="00ED341A">
        <w:rPr>
          <w:rFonts w:ascii="Calibri" w:hAnsi="Calibri"/>
          <w:b/>
        </w:rPr>
        <w:t>Identification</w:t>
      </w:r>
    </w:p>
    <w:p w14:paraId="6765114D" w14:textId="77777777" w:rsidR="00BA4A8C" w:rsidRDefault="00BA4A8C" w:rsidP="00424E73">
      <w:pPr>
        <w:rPr>
          <w:rFonts w:ascii="Calibri" w:hAnsi="Calibri"/>
        </w:rPr>
      </w:pPr>
      <w:r>
        <w:rPr>
          <w:rFonts w:ascii="Calibri" w:hAnsi="Calibri"/>
        </w:rPr>
        <w:t>In Alaska, the identification of homeless children and youth is the responsibility of the district. A district-appointed Homeless Liaison, who will serve as the key contact for the school district will be responsible for:</w:t>
      </w:r>
    </w:p>
    <w:p w14:paraId="2B55A651" w14:textId="77777777" w:rsidR="00BA4A8C" w:rsidRDefault="00BA4A8C" w:rsidP="00424E73">
      <w:pPr>
        <w:pStyle w:val="ListParagraph"/>
        <w:numPr>
          <w:ilvl w:val="0"/>
          <w:numId w:val="4"/>
        </w:numPr>
        <w:rPr>
          <w:rFonts w:ascii="Calibri" w:hAnsi="Calibri"/>
        </w:rPr>
      </w:pPr>
      <w:r>
        <w:rPr>
          <w:rFonts w:ascii="Calibri" w:hAnsi="Calibri"/>
        </w:rPr>
        <w:t>Identification of homeless children and youth</w:t>
      </w:r>
    </w:p>
    <w:p w14:paraId="0FDA481F" w14:textId="77777777" w:rsidR="00BA4A8C" w:rsidRDefault="00BA4A8C" w:rsidP="00424E73">
      <w:pPr>
        <w:pStyle w:val="ListParagraph"/>
        <w:numPr>
          <w:ilvl w:val="1"/>
          <w:numId w:val="4"/>
        </w:numPr>
        <w:rPr>
          <w:rFonts w:ascii="Calibri" w:hAnsi="Calibri"/>
        </w:rPr>
      </w:pPr>
      <w:r>
        <w:rPr>
          <w:rFonts w:ascii="Calibri" w:hAnsi="Calibri"/>
        </w:rPr>
        <w:t>Providing the definition of homelessness to all school employees</w:t>
      </w:r>
    </w:p>
    <w:p w14:paraId="440D86CF" w14:textId="77777777" w:rsidR="00BA4A8C" w:rsidRPr="008A4233" w:rsidRDefault="00BA4A8C" w:rsidP="00424E73">
      <w:pPr>
        <w:pStyle w:val="ListParagraph"/>
        <w:numPr>
          <w:ilvl w:val="1"/>
          <w:numId w:val="4"/>
        </w:numPr>
        <w:rPr>
          <w:rFonts w:ascii="Calibri" w:hAnsi="Calibri"/>
        </w:rPr>
      </w:pPr>
      <w:r>
        <w:rPr>
          <w:rFonts w:ascii="Calibri" w:hAnsi="Calibri"/>
        </w:rPr>
        <w:t>Implementing the appropriate processes and procedures for keeping track of and reporting information regarding homeless students in the district to district and school staff.</w:t>
      </w:r>
    </w:p>
    <w:p w14:paraId="55F979DB" w14:textId="77777777" w:rsidR="00BA4A8C" w:rsidRDefault="00BA4A8C" w:rsidP="00424E73">
      <w:pPr>
        <w:pStyle w:val="ListParagraph"/>
        <w:numPr>
          <w:ilvl w:val="0"/>
          <w:numId w:val="4"/>
        </w:numPr>
        <w:rPr>
          <w:rFonts w:ascii="Calibri" w:hAnsi="Calibri"/>
        </w:rPr>
      </w:pPr>
      <w:r>
        <w:rPr>
          <w:rFonts w:ascii="Calibri" w:hAnsi="Calibri"/>
        </w:rPr>
        <w:t>Ensuring that the homeless student is able to enroll immediately and participate fully in school.</w:t>
      </w:r>
    </w:p>
    <w:p w14:paraId="5EC4AB69" w14:textId="77777777" w:rsidR="00BA4A8C" w:rsidRDefault="00BA4A8C" w:rsidP="00424E73">
      <w:pPr>
        <w:pStyle w:val="ListParagraph"/>
        <w:numPr>
          <w:ilvl w:val="0"/>
          <w:numId w:val="4"/>
        </w:numPr>
        <w:rPr>
          <w:rFonts w:ascii="Calibri" w:hAnsi="Calibri"/>
        </w:rPr>
      </w:pPr>
      <w:r>
        <w:rPr>
          <w:rFonts w:ascii="Calibri" w:hAnsi="Calibri"/>
        </w:rPr>
        <w:t>Informing parents and guardians of the rights of the student.</w:t>
      </w:r>
    </w:p>
    <w:p w14:paraId="39F0C7B7" w14:textId="77777777" w:rsidR="00BA4A8C" w:rsidRDefault="00BA4A8C" w:rsidP="00424E73">
      <w:pPr>
        <w:pStyle w:val="ListParagraph"/>
        <w:numPr>
          <w:ilvl w:val="0"/>
          <w:numId w:val="4"/>
        </w:numPr>
        <w:rPr>
          <w:rFonts w:ascii="Calibri" w:hAnsi="Calibri"/>
        </w:rPr>
      </w:pPr>
      <w:r>
        <w:rPr>
          <w:rFonts w:ascii="Calibri" w:hAnsi="Calibri"/>
        </w:rPr>
        <w:t>Ensuring the public posting of educational rights throughout the school district and community.</w:t>
      </w:r>
    </w:p>
    <w:p w14:paraId="652A98E3" w14:textId="77777777" w:rsidR="00BA4A8C" w:rsidRDefault="00BA4A8C" w:rsidP="00424E73">
      <w:pPr>
        <w:rPr>
          <w:rFonts w:ascii="Calibri" w:hAnsi="Calibri"/>
        </w:rPr>
      </w:pPr>
      <w:r>
        <w:rPr>
          <w:rFonts w:ascii="Calibri" w:hAnsi="Calibri"/>
        </w:rPr>
        <w:t xml:space="preserve">The liaison is responsible for training </w:t>
      </w:r>
      <w:r w:rsidRPr="00ED341A">
        <w:rPr>
          <w:rFonts w:ascii="Calibri" w:hAnsi="Calibri"/>
          <w:b/>
        </w:rPr>
        <w:t xml:space="preserve">all </w:t>
      </w:r>
      <w:r>
        <w:rPr>
          <w:rFonts w:ascii="Calibri" w:hAnsi="Calibri"/>
        </w:rPr>
        <w:t>school and district personnel on how to identify homeless students using McKinney-Vento Eligibility Guidelines and ensuring that they have adequate transportation to attend the school of origin and that all barriers to registration are eliminated. Other duties of the liaison include:</w:t>
      </w:r>
    </w:p>
    <w:p w14:paraId="2E381B67" w14:textId="77777777" w:rsidR="00BA4A8C" w:rsidRDefault="00BA4A8C" w:rsidP="00424E73">
      <w:pPr>
        <w:pStyle w:val="ListParagraph"/>
        <w:numPr>
          <w:ilvl w:val="0"/>
          <w:numId w:val="5"/>
        </w:numPr>
        <w:rPr>
          <w:rFonts w:ascii="Calibri" w:hAnsi="Calibri"/>
        </w:rPr>
      </w:pPr>
      <w:r>
        <w:rPr>
          <w:rFonts w:ascii="Calibri" w:hAnsi="Calibri"/>
        </w:rPr>
        <w:t>Determining the situation of the family and youth regarding the youth’s living arrangements.</w:t>
      </w:r>
    </w:p>
    <w:p w14:paraId="397FF737" w14:textId="77777777" w:rsidR="00BA4A8C" w:rsidRDefault="00BA4A8C" w:rsidP="00424E73">
      <w:pPr>
        <w:pStyle w:val="ListParagraph"/>
        <w:numPr>
          <w:ilvl w:val="0"/>
          <w:numId w:val="5"/>
        </w:numPr>
        <w:rPr>
          <w:rFonts w:ascii="Calibri" w:hAnsi="Calibri"/>
        </w:rPr>
      </w:pPr>
      <w:r>
        <w:rPr>
          <w:rFonts w:ascii="Calibri" w:hAnsi="Calibri"/>
        </w:rPr>
        <w:t>Using the definition of homelessness in the McKinney-Vento Act, to determine what services the student is eligible for.</w:t>
      </w:r>
    </w:p>
    <w:p w14:paraId="7D3BC6AD" w14:textId="77777777" w:rsidR="00BA4A8C" w:rsidRDefault="00BA4A8C" w:rsidP="00424E73">
      <w:pPr>
        <w:pStyle w:val="ListParagraph"/>
        <w:numPr>
          <w:ilvl w:val="0"/>
          <w:numId w:val="5"/>
        </w:numPr>
        <w:rPr>
          <w:rFonts w:ascii="Calibri" w:hAnsi="Calibri"/>
        </w:rPr>
      </w:pPr>
      <w:r>
        <w:rPr>
          <w:rFonts w:ascii="Calibri" w:hAnsi="Calibri"/>
        </w:rPr>
        <w:t>Gathering additional information about the student from other agencies to assist with the identification of homeless students and the determination of services to provide.</w:t>
      </w:r>
    </w:p>
    <w:p w14:paraId="70911B77" w14:textId="77777777" w:rsidR="00BA4A8C" w:rsidRDefault="00BA4A8C" w:rsidP="00424E73">
      <w:pPr>
        <w:rPr>
          <w:rFonts w:ascii="Calibri" w:hAnsi="Calibri"/>
          <w:b/>
        </w:rPr>
      </w:pPr>
      <w:r>
        <w:rPr>
          <w:rFonts w:ascii="Calibri" w:hAnsi="Calibri"/>
          <w:b/>
        </w:rPr>
        <w:t>Needs Assessment</w:t>
      </w:r>
    </w:p>
    <w:p w14:paraId="09D7A8EF" w14:textId="77777777" w:rsidR="00BA4A8C" w:rsidRPr="00ED341A" w:rsidRDefault="00BA4A8C" w:rsidP="00424E73">
      <w:pPr>
        <w:rPr>
          <w:rFonts w:ascii="Calibri" w:hAnsi="Calibri"/>
        </w:rPr>
      </w:pPr>
      <w:r>
        <w:rPr>
          <w:rFonts w:ascii="Calibri" w:hAnsi="Calibri"/>
        </w:rPr>
        <w:t>The primary responsibility for assessing the needs of homeless students and youth lies with the district and school. The district’s needs assessment will identify the needs of the students and organize the services that the students will receive.</w:t>
      </w:r>
    </w:p>
    <w:p w14:paraId="74EA0D3C" w14:textId="0CCE6043" w:rsidR="0033601F" w:rsidRPr="0033601F" w:rsidRDefault="00BA4A8C" w:rsidP="0033601F">
      <w:pPr>
        <w:pStyle w:val="Heading2"/>
        <w:numPr>
          <w:ilvl w:val="3"/>
          <w:numId w:val="56"/>
        </w:numPr>
        <w:ind w:left="900"/>
        <w:rPr>
          <w:rFonts w:eastAsiaTheme="minorHAnsi"/>
        </w:rPr>
      </w:pPr>
      <w:r w:rsidRPr="006E7A79">
        <w:rPr>
          <w:rFonts w:eastAsia="Times New Roman"/>
        </w:rPr>
        <w:t>Dispute Resolution</w:t>
      </w:r>
    </w:p>
    <w:p w14:paraId="76DF4C55" w14:textId="76CB6B8E" w:rsidR="00BA4A8C" w:rsidRPr="006E7A79" w:rsidRDefault="00BA4A8C" w:rsidP="0033601F">
      <w:pPr>
        <w:pStyle w:val="ListParagraph"/>
        <w:spacing w:after="160"/>
        <w:ind w:left="360" w:firstLine="360"/>
        <w:rPr>
          <w:rFonts w:ascii="Calibri" w:hAnsi="Calibri"/>
        </w:rPr>
      </w:pPr>
      <w:r w:rsidRPr="006E7A79">
        <w:rPr>
          <w:rFonts w:ascii="Calibri" w:eastAsia="Times New Roman" w:hAnsi="Calibri"/>
          <w:i/>
        </w:rPr>
        <w:t>(</w:t>
      </w:r>
      <w:r w:rsidRPr="006E7A79">
        <w:rPr>
          <w:rFonts w:ascii="Calibri" w:hAnsi="Calibri"/>
          <w:i/>
        </w:rPr>
        <w:t>722(g</w:t>
      </w:r>
      <w:proofErr w:type="gramStart"/>
      <w:r w:rsidRPr="006E7A79">
        <w:rPr>
          <w:rFonts w:ascii="Calibri" w:hAnsi="Calibri"/>
          <w:i/>
        </w:rPr>
        <w:t>)(</w:t>
      </w:r>
      <w:proofErr w:type="gramEnd"/>
      <w:r w:rsidRPr="006E7A79">
        <w:rPr>
          <w:rFonts w:ascii="Calibri" w:hAnsi="Calibri"/>
          <w:i/>
        </w:rPr>
        <w:t>1)(C) of the McKinney-Vento Act)</w:t>
      </w:r>
      <w:r w:rsidRPr="006E7A79">
        <w:rPr>
          <w:rFonts w:ascii="Calibri" w:hAnsi="Calibri"/>
        </w:rPr>
        <w:t>:</w:t>
      </w:r>
      <w:r w:rsidRPr="006E7A79">
        <w:rPr>
          <w:rFonts w:ascii="Calibri" w:hAnsi="Calibri"/>
          <w:i/>
        </w:rPr>
        <w:t xml:space="preserve"> </w:t>
      </w:r>
      <w:r w:rsidRPr="006E7A79">
        <w:rPr>
          <w:rFonts w:ascii="Calibri" w:eastAsia="Times New Roman" w:hAnsi="Calibri" w:cs="Times New Roman"/>
        </w:rPr>
        <w:t>Describe</w:t>
      </w:r>
      <w:r w:rsidRPr="006E7A79">
        <w:rPr>
          <w:rFonts w:ascii="Calibri" w:eastAsia="Times New Roman" w:hAnsi="Calibri"/>
        </w:rPr>
        <w:t xml:space="preserve"> procedures for the prompt resolution of disputes regarding the educational placement of homeless children and youth.</w:t>
      </w:r>
    </w:p>
    <w:p w14:paraId="6F805FD2" w14:textId="77777777" w:rsidR="00BA4A8C" w:rsidRPr="0054426B" w:rsidRDefault="00BA4A8C" w:rsidP="0033601F">
      <w:r>
        <w:t xml:space="preserve">DEED requires each local district to have a dispute resolution process. DEED provided guidance and sample templates for this process. The guidelines include immediate enrollment of the homeless student pending resolution of the dispute. Within five business days, the district Homeless Liaison is to </w:t>
      </w:r>
      <w:r w:rsidRPr="0054426B">
        <w:lastRenderedPageBreak/>
        <w:t>provide the family or unaccompanied youth with a written determination of the school division's placement decision, including the ability to appeal the decision at the state level by contacting the State Homeless Education Coordinator.</w:t>
      </w:r>
    </w:p>
    <w:p w14:paraId="47CE1978" w14:textId="77777777" w:rsidR="00BA4A8C" w:rsidRDefault="00BA4A8C" w:rsidP="0033601F">
      <w:r>
        <w:t xml:space="preserve">DEED has established a state-level dispute resolution procedure process outlined in regulation </w:t>
      </w:r>
      <w:r>
        <w:rPr>
          <w:spacing w:val="-1"/>
        </w:rPr>
        <w:t>4 AAC 06.888</w:t>
      </w:r>
      <w:r>
        <w:t xml:space="preserve">. The regulation requires the individual to first file a complaint with the district. If the complaint is not resolved by the district, the individual may file a complaint with DEED according to the procedures outlined in the regulation. </w:t>
      </w:r>
      <w:r>
        <w:rPr>
          <w:spacing w:val="-1"/>
        </w:rPr>
        <w:t>Within five days of receiving a complaint, the department will assign an investigator to conduct an informal review of the complaint. Within 60 days of receiving the complaint, the investigator shall submit the findings to the commissioner and the complainant. The commissioner may take corrective action if the district was found to be in violation of the law. While the regulation allows 60 days for the investigation, the department is aware of the need to reach resolutions in disputes regarding homeless students as expeditiously as possible.</w:t>
      </w:r>
    </w:p>
    <w:p w14:paraId="7EE73F09" w14:textId="5C70BE36" w:rsidR="0033601F" w:rsidRPr="0033601F" w:rsidRDefault="00BA4A8C" w:rsidP="0033601F">
      <w:pPr>
        <w:pStyle w:val="Heading2"/>
        <w:numPr>
          <w:ilvl w:val="3"/>
          <w:numId w:val="56"/>
        </w:numPr>
        <w:ind w:left="900"/>
        <w:rPr>
          <w:rFonts w:eastAsiaTheme="minorHAnsi" w:cstheme="minorBidi"/>
        </w:rPr>
      </w:pPr>
      <w:r w:rsidRPr="006E7A79">
        <w:rPr>
          <w:rFonts w:eastAsia="Times New Roman"/>
        </w:rPr>
        <w:t>Support for School Personnel</w:t>
      </w:r>
    </w:p>
    <w:p w14:paraId="3732ED25" w14:textId="307E78A6" w:rsidR="00BA4A8C" w:rsidRDefault="00BA4A8C" w:rsidP="0033601F">
      <w:pPr>
        <w:pStyle w:val="ListParagraph"/>
        <w:ind w:left="540"/>
        <w:rPr>
          <w:rFonts w:ascii="Calibri" w:hAnsi="Calibri"/>
        </w:rPr>
      </w:pPr>
      <w:proofErr w:type="gramStart"/>
      <w:r w:rsidRPr="006E7A79">
        <w:rPr>
          <w:rFonts w:ascii="Calibri" w:eastAsia="Times New Roman" w:hAnsi="Calibri" w:cs="Times New Roman"/>
          <w:i/>
        </w:rPr>
        <w:t>(</w:t>
      </w:r>
      <w:r w:rsidRPr="006E7A79">
        <w:rPr>
          <w:rFonts w:ascii="Calibri" w:hAnsi="Calibri" w:cs="Times New Roman"/>
          <w:i/>
        </w:rPr>
        <w:t>722(g)(1)(D) of the McKinney-Vento Act)</w:t>
      </w:r>
      <w:r w:rsidRPr="006E7A79">
        <w:rPr>
          <w:rFonts w:ascii="Calibri" w:hAnsi="Calibri" w:cs="Times New Roman"/>
        </w:rPr>
        <w:t xml:space="preserve">: Describe programs for school personnel </w:t>
      </w:r>
      <w:r w:rsidRPr="006E7A79">
        <w:rPr>
          <w:rFonts w:ascii="Calibri" w:hAnsi="Calibri"/>
        </w:rPr>
        <w:t>(including the LEA liaisons for homeless children and youth, principals and other school leaders, attendance officers, teachers, enrollment personnel, and specialized instructional support personnel) to heighten the awareness of such school personnel of the specific needs of homeless children and youth, including runaway and homeless children and youth.</w:t>
      </w:r>
      <w:proofErr w:type="gramEnd"/>
    </w:p>
    <w:p w14:paraId="6FF87378" w14:textId="77777777" w:rsidR="00BA4A8C" w:rsidRPr="003E487A" w:rsidRDefault="00BA4A8C" w:rsidP="0054426B">
      <w:pPr>
        <w:pStyle w:val="TableParagraph"/>
        <w:spacing w:line="239" w:lineRule="auto"/>
        <w:ind w:left="101" w:right="158"/>
        <w:rPr>
          <w:rFonts w:ascii="Calibri"/>
          <w:spacing w:val="-1"/>
          <w:sz w:val="22"/>
          <w:szCs w:val="22"/>
        </w:rPr>
      </w:pPr>
      <w:r w:rsidRPr="003E487A">
        <w:rPr>
          <w:rFonts w:ascii="Calibri"/>
          <w:spacing w:val="-1"/>
          <w:sz w:val="22"/>
          <w:szCs w:val="22"/>
        </w:rPr>
        <w:t>When applying for ESEA funds, districts must provide a description of the:</w:t>
      </w:r>
    </w:p>
    <w:p w14:paraId="2972C545" w14:textId="77777777" w:rsidR="00BA4A8C" w:rsidRPr="003E487A" w:rsidRDefault="00BA4A8C" w:rsidP="0054426B">
      <w:pPr>
        <w:pStyle w:val="TableParagraph"/>
        <w:numPr>
          <w:ilvl w:val="0"/>
          <w:numId w:val="8"/>
        </w:numPr>
        <w:autoSpaceDE/>
        <w:autoSpaceDN/>
        <w:adjustRightInd/>
        <w:spacing w:line="239" w:lineRule="auto"/>
        <w:ind w:right="158"/>
        <w:rPr>
          <w:rFonts w:ascii="Calibri"/>
          <w:spacing w:val="-1"/>
          <w:sz w:val="22"/>
          <w:szCs w:val="22"/>
        </w:rPr>
      </w:pPr>
      <w:r w:rsidRPr="003E487A">
        <w:rPr>
          <w:rFonts w:ascii="Calibri"/>
          <w:spacing w:val="-1"/>
          <w:sz w:val="22"/>
          <w:szCs w:val="22"/>
        </w:rPr>
        <w:t>Training/professional development that was or will be provided to district staff on identifying and serving homeless children and youth, including runaway homeless children and youth. They must also include the dates or timeframe and the types of staff that received training.</w:t>
      </w:r>
    </w:p>
    <w:p w14:paraId="3306B984" w14:textId="77777777" w:rsidR="00BA4A8C" w:rsidRPr="003E487A" w:rsidRDefault="00BA4A8C" w:rsidP="0054426B">
      <w:pPr>
        <w:pStyle w:val="TableParagraph"/>
        <w:numPr>
          <w:ilvl w:val="0"/>
          <w:numId w:val="8"/>
        </w:numPr>
        <w:autoSpaceDE/>
        <w:autoSpaceDN/>
        <w:adjustRightInd/>
        <w:spacing w:line="239" w:lineRule="auto"/>
        <w:ind w:right="158"/>
        <w:rPr>
          <w:rFonts w:ascii="Calibri"/>
          <w:spacing w:val="-1"/>
          <w:sz w:val="22"/>
          <w:szCs w:val="22"/>
        </w:rPr>
      </w:pPr>
      <w:r w:rsidRPr="003E487A">
        <w:rPr>
          <w:rFonts w:ascii="Calibri"/>
          <w:spacing w:val="-1"/>
          <w:sz w:val="22"/>
          <w:szCs w:val="22"/>
        </w:rPr>
        <w:t>Procedure used by the homeless liaison to identify homeless students, including runaway homeless children. Districts must also include any community agencies, organizations, and other resources regularly contacted to assist with the identification of homeless children and youth, including runaway homeless children and youth.</w:t>
      </w:r>
    </w:p>
    <w:p w14:paraId="5894C046" w14:textId="77777777" w:rsidR="00BA4A8C" w:rsidRPr="003E487A" w:rsidRDefault="00BA4A8C" w:rsidP="0054426B">
      <w:pPr>
        <w:pStyle w:val="TableParagraph"/>
        <w:spacing w:line="239" w:lineRule="auto"/>
        <w:ind w:left="101" w:right="158"/>
        <w:rPr>
          <w:rFonts w:ascii="Calibri"/>
          <w:spacing w:val="-1"/>
          <w:sz w:val="22"/>
          <w:szCs w:val="22"/>
        </w:rPr>
      </w:pPr>
      <w:r w:rsidRPr="003E487A">
        <w:rPr>
          <w:rFonts w:ascii="Calibri"/>
          <w:spacing w:val="-1"/>
          <w:sz w:val="22"/>
          <w:szCs w:val="22"/>
        </w:rPr>
        <w:t xml:space="preserve">During ESEA Monitoring, DEED verifies that the district has identified a homeless liaison and the homeless liaison ensures that </w:t>
      </w:r>
    </w:p>
    <w:p w14:paraId="5DA12E6C" w14:textId="77777777" w:rsidR="00BA4A8C" w:rsidRPr="003E487A" w:rsidRDefault="00BA4A8C" w:rsidP="0054426B">
      <w:pPr>
        <w:pStyle w:val="TableParagraph"/>
        <w:numPr>
          <w:ilvl w:val="0"/>
          <w:numId w:val="8"/>
        </w:numPr>
        <w:autoSpaceDE/>
        <w:autoSpaceDN/>
        <w:adjustRightInd/>
        <w:spacing w:line="239" w:lineRule="auto"/>
        <w:ind w:right="158"/>
        <w:rPr>
          <w:rFonts w:ascii="Calibri"/>
          <w:spacing w:val="-1"/>
          <w:sz w:val="22"/>
          <w:szCs w:val="22"/>
        </w:rPr>
      </w:pPr>
      <w:r w:rsidRPr="003E487A">
        <w:rPr>
          <w:rFonts w:ascii="Calibri"/>
          <w:spacing w:val="-1"/>
          <w:sz w:val="22"/>
          <w:szCs w:val="22"/>
        </w:rPr>
        <w:t>Homeless children and youths, including runaway homeless children and youth, are identified by school personnel through outreach and coordination activities.</w:t>
      </w:r>
    </w:p>
    <w:p w14:paraId="0B7EBBC8" w14:textId="77777777" w:rsidR="00BA4A8C" w:rsidRPr="003E487A" w:rsidRDefault="00BA4A8C" w:rsidP="003E487A">
      <w:pPr>
        <w:pStyle w:val="TableParagraph"/>
        <w:numPr>
          <w:ilvl w:val="0"/>
          <w:numId w:val="8"/>
        </w:numPr>
        <w:autoSpaceDE/>
        <w:autoSpaceDN/>
        <w:adjustRightInd/>
        <w:spacing w:after="120" w:line="239" w:lineRule="auto"/>
        <w:ind w:right="158"/>
        <w:rPr>
          <w:rFonts w:ascii="Calibri"/>
          <w:spacing w:val="-1"/>
          <w:sz w:val="22"/>
          <w:szCs w:val="22"/>
        </w:rPr>
      </w:pPr>
      <w:r w:rsidRPr="003E487A">
        <w:rPr>
          <w:rFonts w:ascii="Calibri"/>
          <w:spacing w:val="-1"/>
          <w:sz w:val="22"/>
          <w:szCs w:val="22"/>
        </w:rPr>
        <w:t>School personnel providing services to homeless and runaway children and youth receive professional development and other support.</w:t>
      </w:r>
    </w:p>
    <w:p w14:paraId="697C669A" w14:textId="77777777" w:rsidR="00BA4A8C" w:rsidRDefault="00BA4A8C" w:rsidP="00424E73">
      <w:pPr>
        <w:rPr>
          <w:rFonts w:ascii="Calibri" w:hAnsi="Calibri"/>
        </w:rPr>
      </w:pPr>
      <w:r>
        <w:rPr>
          <w:rFonts w:ascii="Calibri" w:hAnsi="Calibri"/>
        </w:rPr>
        <w:t>DEED will provide ongoing technical assistance and guidance as needed to all school personnel on the requirements of the McKinney-Vento Homeless Education Program. District Homeless Liaisons will be provided with training guidelines and training updates as they become available. Training opportunities include face-to-face training at the Annual Technical Assistance Workshop (Federal Programs), weekly newsletter updates, updated information as it becomes available via email, and webinars.</w:t>
      </w:r>
    </w:p>
    <w:p w14:paraId="11E9EDFA" w14:textId="77777777" w:rsidR="00BA4A8C" w:rsidRDefault="00BA4A8C" w:rsidP="00424E73">
      <w:pPr>
        <w:rPr>
          <w:rFonts w:ascii="Calibri" w:hAnsi="Calibri"/>
        </w:rPr>
      </w:pPr>
      <w:r>
        <w:rPr>
          <w:rFonts w:ascii="Calibri" w:hAnsi="Calibri"/>
        </w:rPr>
        <w:t>DEED will also conduct monitoring visits to all districts during scheduled ESEA monitoring visits. During these visits, DEED program managers will review district and school procedures and provide individualized technical assistance to Homeless Liaisons to ensure all processes and procedures meet the requirements outlined in the McKinney-Vento Education Act.</w:t>
      </w:r>
    </w:p>
    <w:p w14:paraId="07C11A4F" w14:textId="77777777" w:rsidR="00BA4A8C" w:rsidRDefault="00BA4A8C" w:rsidP="00424E73">
      <w:pPr>
        <w:rPr>
          <w:rFonts w:ascii="Calibri"/>
          <w:spacing w:val="-1"/>
        </w:rPr>
      </w:pPr>
      <w:r>
        <w:rPr>
          <w:rFonts w:ascii="Calibri"/>
          <w:spacing w:val="-1"/>
        </w:rPr>
        <w:t xml:space="preserve">The State Homeless Coordinator is creating new links between the State Dept. of Educations Homeless, School Safety, and Suicide Prevention divisions. These links will fold LEA personnel who are in contact </w:t>
      </w:r>
      <w:r>
        <w:rPr>
          <w:rFonts w:ascii="Calibri"/>
          <w:spacing w:val="-1"/>
        </w:rPr>
        <w:lastRenderedPageBreak/>
        <w:t>with homeless students into more of the training appropriate for them offered by School Safety and Suicide Prevention, and allow for increased awareness among counselors and other LEA personnel focused on School Safety and Suicide Prevention that homeless students may have unique needs in these areas.  In addition, the State Homeless Coordinator will utilize NCHE materials on a regular basis to inform LEA Homeless Liaisons and other district personnel on a variety of topics connected to the specific needs of homeless children and youth through face-to-face annual meetings and additional support methods listed below.</w:t>
      </w:r>
    </w:p>
    <w:p w14:paraId="249C7845" w14:textId="77777777" w:rsidR="00BA4A8C" w:rsidRDefault="00BA4A8C" w:rsidP="00424E73">
      <w:pPr>
        <w:rPr>
          <w:rFonts w:ascii="Calibri" w:hAnsi="Calibri"/>
        </w:rPr>
      </w:pPr>
      <w:r>
        <w:rPr>
          <w:rFonts w:ascii="Calibri" w:hAnsi="Calibri"/>
        </w:rPr>
        <w:t>Additional support includes:</w:t>
      </w:r>
    </w:p>
    <w:p w14:paraId="21BEC40A" w14:textId="77777777" w:rsidR="00BA4A8C" w:rsidRPr="000C78A0" w:rsidRDefault="00BA4A8C" w:rsidP="0054426B">
      <w:pPr>
        <w:pStyle w:val="CommentText"/>
        <w:widowControl w:val="0"/>
        <w:numPr>
          <w:ilvl w:val="0"/>
          <w:numId w:val="8"/>
        </w:numPr>
        <w:rPr>
          <w:sz w:val="22"/>
          <w:szCs w:val="22"/>
        </w:rPr>
      </w:pPr>
      <w:r w:rsidRPr="000C78A0">
        <w:rPr>
          <w:sz w:val="22"/>
          <w:szCs w:val="22"/>
        </w:rPr>
        <w:t xml:space="preserve">Weekly ESEA Federal Program Newsletter – Provide guidance and additional training opportunities to district staff including, but not limited to, homeless liaisons, superintendents, federal programs coordinators, grants managers, and all other federal program staff. </w:t>
      </w:r>
    </w:p>
    <w:p w14:paraId="2E73665C" w14:textId="77777777" w:rsidR="00BA4A8C" w:rsidRPr="000C78A0" w:rsidRDefault="00BA4A8C" w:rsidP="0054426B">
      <w:pPr>
        <w:pStyle w:val="CommentText"/>
        <w:widowControl w:val="0"/>
        <w:numPr>
          <w:ilvl w:val="0"/>
          <w:numId w:val="8"/>
        </w:numPr>
        <w:rPr>
          <w:sz w:val="22"/>
          <w:szCs w:val="22"/>
        </w:rPr>
      </w:pPr>
      <w:r w:rsidRPr="000C78A0">
        <w:rPr>
          <w:sz w:val="22"/>
          <w:szCs w:val="22"/>
        </w:rPr>
        <w:t xml:space="preserve">Webinar Trainings – Provide guidance on the McKinney-Vento Education for Homeless Children and Youth requirements. Topics include, but are not limited to, identification of homeless and runaway children, identifying and addressing the needs of homeless and runaway children, coordination with other agencies, dispute resolution, and using Title I-A set-aside funds. </w:t>
      </w:r>
    </w:p>
    <w:p w14:paraId="1C2AB024" w14:textId="77777777" w:rsidR="00BA4A8C" w:rsidRPr="000C78A0" w:rsidRDefault="00BA4A8C" w:rsidP="0054426B">
      <w:pPr>
        <w:pStyle w:val="CommentText"/>
        <w:widowControl w:val="0"/>
        <w:numPr>
          <w:ilvl w:val="0"/>
          <w:numId w:val="8"/>
        </w:numPr>
        <w:rPr>
          <w:sz w:val="22"/>
          <w:szCs w:val="22"/>
        </w:rPr>
      </w:pPr>
      <w:r w:rsidRPr="000C78A0">
        <w:rPr>
          <w:sz w:val="22"/>
          <w:szCs w:val="22"/>
        </w:rPr>
        <w:t xml:space="preserve">Resources for district homeless training sessions – Annually provide the homeless liaisons resources for them to effectively provide trainings to district and school personnel regarding homeless and runaway children and youths. </w:t>
      </w:r>
    </w:p>
    <w:p w14:paraId="2CB40AF4" w14:textId="77777777" w:rsidR="00BA4A8C" w:rsidRPr="006E7A79" w:rsidRDefault="00BA4A8C" w:rsidP="0054426B">
      <w:pPr>
        <w:pStyle w:val="ListParagraph"/>
        <w:spacing w:after="160"/>
        <w:rPr>
          <w:rFonts w:ascii="Calibri" w:hAnsi="Calibri"/>
        </w:rPr>
      </w:pPr>
    </w:p>
    <w:p w14:paraId="19B3B1B6" w14:textId="37A4BB0B" w:rsidR="003E487A" w:rsidRDefault="00BA4A8C" w:rsidP="003E487A">
      <w:pPr>
        <w:pStyle w:val="Heading2"/>
        <w:numPr>
          <w:ilvl w:val="3"/>
          <w:numId w:val="56"/>
        </w:numPr>
        <w:ind w:left="900"/>
      </w:pPr>
      <w:r w:rsidRPr="006E7A79">
        <w:rPr>
          <w:rFonts w:eastAsia="Times New Roman"/>
        </w:rPr>
        <w:t>Access to Services</w:t>
      </w:r>
    </w:p>
    <w:p w14:paraId="67491A53" w14:textId="77777777" w:rsidR="000100FA" w:rsidRPr="000100FA" w:rsidRDefault="00BA4A8C" w:rsidP="000100FA">
      <w:pPr>
        <w:spacing w:after="0"/>
        <w:ind w:firstLine="540"/>
        <w:rPr>
          <w:rStyle w:val="SubtleEmphasis"/>
        </w:rPr>
      </w:pPr>
      <w:r w:rsidRPr="000100FA">
        <w:rPr>
          <w:rStyle w:val="SubtleEmphasis"/>
        </w:rPr>
        <w:t>(722(g</w:t>
      </w:r>
      <w:proofErr w:type="gramStart"/>
      <w:r w:rsidRPr="000100FA">
        <w:rPr>
          <w:rStyle w:val="SubtleEmphasis"/>
        </w:rPr>
        <w:t>)(</w:t>
      </w:r>
      <w:proofErr w:type="gramEnd"/>
      <w:r w:rsidRPr="000100FA">
        <w:rPr>
          <w:rStyle w:val="SubtleEmphasis"/>
        </w:rPr>
        <w:t xml:space="preserve">1)(F) of the McKinney-Vento Act): </w:t>
      </w:r>
    </w:p>
    <w:p w14:paraId="1214FD1F" w14:textId="2FEB0C71" w:rsidR="00BA4A8C" w:rsidRPr="006E7A79" w:rsidRDefault="00BA4A8C" w:rsidP="003E487A">
      <w:pPr>
        <w:ind w:firstLine="540"/>
      </w:pPr>
      <w:r w:rsidRPr="006E7A79">
        <w:t>Describe procedures that ensure that:</w:t>
      </w:r>
    </w:p>
    <w:p w14:paraId="21FD34E1" w14:textId="77777777" w:rsidR="003E487A" w:rsidRDefault="00BA4A8C" w:rsidP="003E487A">
      <w:pPr>
        <w:pStyle w:val="ListParagraph"/>
        <w:numPr>
          <w:ilvl w:val="0"/>
          <w:numId w:val="103"/>
        </w:numPr>
      </w:pPr>
      <w:r w:rsidRPr="006E7A79">
        <w:t>Homeless children have access to public preschool programs, administered by the SEA or LEA, as provided to other children in the State;</w:t>
      </w:r>
    </w:p>
    <w:p w14:paraId="33540F82" w14:textId="5B493182" w:rsidR="003E487A" w:rsidRDefault="00BA4A8C" w:rsidP="003E487A">
      <w:pPr>
        <w:pStyle w:val="ListParagraph"/>
        <w:numPr>
          <w:ilvl w:val="0"/>
          <w:numId w:val="104"/>
        </w:numPr>
      </w:pPr>
      <w:r w:rsidRPr="006E7A79">
        <w:t xml:space="preserve">Homeless youth and youth separated from public schools are identified and accorded equal access to appropriate secondary education and support services, including by identifying and removing barriers that prevent youth described in this clause from receiving appropriate credit for full or partial coursework satisfactorily completed while attending a prior school, in accordance with State, local, and school policies; and </w:t>
      </w:r>
    </w:p>
    <w:p w14:paraId="2E11A985" w14:textId="7535FDBC" w:rsidR="003E487A" w:rsidRDefault="00BA4A8C" w:rsidP="003E487A">
      <w:pPr>
        <w:pStyle w:val="ListParagraph"/>
        <w:numPr>
          <w:ilvl w:val="2"/>
          <w:numId w:val="56"/>
        </w:numPr>
        <w:ind w:left="1800"/>
      </w:pPr>
      <w:r w:rsidRPr="006E7A79">
        <w:t xml:space="preserve">Homeless children and youth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w:t>
      </w:r>
      <w:r w:rsidR="003E487A">
        <w:t xml:space="preserve">at the State and local levels. </w:t>
      </w:r>
    </w:p>
    <w:p w14:paraId="619C858B" w14:textId="66679024" w:rsidR="00BA4A8C" w:rsidRPr="003E487A" w:rsidRDefault="00BA4A8C" w:rsidP="003E487A">
      <w:pPr>
        <w:ind w:left="540"/>
        <w:rPr>
          <w:rFonts w:ascii="Calibri"/>
          <w:spacing w:val="-1"/>
        </w:rPr>
      </w:pPr>
      <w:r w:rsidRPr="003E487A">
        <w:t>DEED has procedures in place to ensure that homeless children and youth have access to all public school programs and services that are appropriate to their age/grade level:</w:t>
      </w:r>
    </w:p>
    <w:p w14:paraId="4CBC22ED" w14:textId="77777777" w:rsidR="00BA4A8C" w:rsidRPr="003E487A" w:rsidRDefault="00BA4A8C" w:rsidP="006641B6">
      <w:pPr>
        <w:pStyle w:val="TableParagraph"/>
        <w:numPr>
          <w:ilvl w:val="0"/>
          <w:numId w:val="75"/>
        </w:numPr>
        <w:autoSpaceDE/>
        <w:autoSpaceDN/>
        <w:adjustRightInd/>
        <w:spacing w:line="239" w:lineRule="auto"/>
        <w:ind w:right="475"/>
        <w:rPr>
          <w:rFonts w:ascii="Calibri"/>
          <w:spacing w:val="-1"/>
          <w:sz w:val="22"/>
          <w:szCs w:val="22"/>
        </w:rPr>
      </w:pPr>
      <w:r w:rsidRPr="003E487A">
        <w:rPr>
          <w:rFonts w:ascii="Calibri"/>
          <w:spacing w:val="-1"/>
          <w:sz w:val="22"/>
          <w:szCs w:val="22"/>
        </w:rPr>
        <w:t xml:space="preserve">DEED provides guidance to district staff and district homeless liaisons on the need to have policies and procedures and the need to reduce barriers to ensure equal access to any public school programs as applicable. This guidance is provided on the website, and also in the Consolidated ESEA Application Handbook, the companion document updated annually </w:t>
      </w:r>
      <w:r w:rsidRPr="003E487A">
        <w:rPr>
          <w:rFonts w:ascii="Calibri"/>
          <w:spacing w:val="-1"/>
          <w:sz w:val="22"/>
          <w:szCs w:val="22"/>
        </w:rPr>
        <w:lastRenderedPageBreak/>
        <w:t xml:space="preserve">for the district ESEA Consolidated Grant Application. </w:t>
      </w:r>
    </w:p>
    <w:p w14:paraId="6894BA7B" w14:textId="77777777" w:rsidR="00BA4A8C" w:rsidRPr="003E487A" w:rsidRDefault="00BA4A8C" w:rsidP="006641B6">
      <w:pPr>
        <w:pStyle w:val="TableParagraph"/>
        <w:numPr>
          <w:ilvl w:val="0"/>
          <w:numId w:val="75"/>
        </w:numPr>
        <w:autoSpaceDE/>
        <w:autoSpaceDN/>
        <w:adjustRightInd/>
        <w:spacing w:line="239" w:lineRule="auto"/>
        <w:ind w:right="475"/>
        <w:rPr>
          <w:rFonts w:ascii="Calibri"/>
          <w:spacing w:val="-1"/>
          <w:sz w:val="22"/>
          <w:szCs w:val="22"/>
        </w:rPr>
      </w:pPr>
      <w:r w:rsidRPr="003E487A">
        <w:rPr>
          <w:rFonts w:ascii="Calibri"/>
          <w:spacing w:val="-1"/>
          <w:sz w:val="22"/>
          <w:szCs w:val="22"/>
        </w:rPr>
        <w:t>DEED requires districts to sign assurances that they will adopt policies and procedures that ensure that each homeless child or youth has equal access to the same free, appropriate public education, including preschool education, as provided to other children and youths.</w:t>
      </w:r>
    </w:p>
    <w:p w14:paraId="2CC2FF77" w14:textId="77777777" w:rsidR="00BA4A8C" w:rsidRPr="003E487A" w:rsidRDefault="00BA4A8C" w:rsidP="006641B6">
      <w:pPr>
        <w:pStyle w:val="TableParagraph"/>
        <w:numPr>
          <w:ilvl w:val="0"/>
          <w:numId w:val="75"/>
        </w:numPr>
        <w:autoSpaceDE/>
        <w:autoSpaceDN/>
        <w:adjustRightInd/>
        <w:spacing w:line="239" w:lineRule="auto"/>
        <w:ind w:right="475"/>
        <w:rPr>
          <w:rFonts w:ascii="Calibri"/>
          <w:spacing w:val="-1"/>
          <w:sz w:val="22"/>
          <w:szCs w:val="22"/>
        </w:rPr>
      </w:pPr>
      <w:r w:rsidRPr="003E487A">
        <w:rPr>
          <w:rFonts w:ascii="Calibri"/>
          <w:spacing w:val="-1"/>
          <w:sz w:val="22"/>
          <w:szCs w:val="22"/>
        </w:rPr>
        <w:t>DEED requires districts to describe in their annual ESEA Consolidated Grant application how Title I-A funding is used to provide comparable services to homeless children and youth, including providing educationally related support to children in shelters or other locations where children may live. This set-aside funding may also be used to provide homeless children and youth with services not ordinarily provided under Title I-A, including funding for the homeless liaison position, or to defray the excess cost of transportation to the school of origin [Section 1113(c</w:t>
      </w:r>
      <w:proofErr w:type="gramStart"/>
      <w:r w:rsidRPr="003E487A">
        <w:rPr>
          <w:rFonts w:ascii="Calibri"/>
          <w:spacing w:val="-1"/>
          <w:sz w:val="22"/>
          <w:szCs w:val="22"/>
        </w:rPr>
        <w:t>)(</w:t>
      </w:r>
      <w:proofErr w:type="gramEnd"/>
      <w:r w:rsidRPr="003E487A">
        <w:rPr>
          <w:rFonts w:ascii="Calibri"/>
          <w:spacing w:val="-1"/>
          <w:sz w:val="22"/>
          <w:szCs w:val="22"/>
        </w:rPr>
        <w:t xml:space="preserve">3)]. </w:t>
      </w:r>
    </w:p>
    <w:p w14:paraId="4FCF3898" w14:textId="77777777" w:rsidR="00BA4A8C" w:rsidRPr="004A5820" w:rsidRDefault="00BA4A8C" w:rsidP="006641B6">
      <w:pPr>
        <w:pStyle w:val="TableParagraph"/>
        <w:numPr>
          <w:ilvl w:val="0"/>
          <w:numId w:val="75"/>
        </w:numPr>
        <w:autoSpaceDE/>
        <w:autoSpaceDN/>
        <w:adjustRightInd/>
        <w:spacing w:line="239" w:lineRule="auto"/>
        <w:ind w:right="475"/>
        <w:rPr>
          <w:rFonts w:ascii="Calibri"/>
          <w:spacing w:val="-1"/>
        </w:rPr>
      </w:pPr>
      <w:r w:rsidRPr="004A5820">
        <w:rPr>
          <w:rFonts w:ascii="Calibri"/>
          <w:spacing w:val="-1"/>
          <w:sz w:val="22"/>
          <w:szCs w:val="22"/>
        </w:rPr>
        <w:t>DEED requires all districts to answer the following question in their annual ESEA Consolidated Grant application, regardless of whether Title I-A funds are used to provide the services.</w:t>
      </w:r>
    </w:p>
    <w:p w14:paraId="5BBAFA2E" w14:textId="1B566689" w:rsidR="00BA4A8C" w:rsidRPr="004A5820" w:rsidRDefault="00BA4A8C" w:rsidP="004A5820">
      <w:pPr>
        <w:ind w:left="720"/>
      </w:pPr>
      <w:r w:rsidRPr="004A5820">
        <w:rPr>
          <w:b/>
        </w:rPr>
        <w:t>“D.4 Homeless Children &amp; Youth – Access to Services</w:t>
      </w:r>
    </w:p>
    <w:p w14:paraId="2F1CA42F" w14:textId="77777777" w:rsidR="00BA4A8C" w:rsidRPr="004A5820" w:rsidRDefault="00BA4A8C" w:rsidP="004A5820">
      <w:pPr>
        <w:ind w:left="720"/>
      </w:pPr>
      <w:r w:rsidRPr="004A5820">
        <w:tab/>
        <w:t>Describe procedures that ensure that:</w:t>
      </w:r>
    </w:p>
    <w:p w14:paraId="78D36102" w14:textId="77777777" w:rsidR="00BA4A8C" w:rsidRPr="004A5820" w:rsidRDefault="00BA4A8C" w:rsidP="004A5820">
      <w:pPr>
        <w:pStyle w:val="ListParagraph"/>
        <w:numPr>
          <w:ilvl w:val="0"/>
          <w:numId w:val="3"/>
        </w:numPr>
        <w:ind w:left="1800"/>
        <w:rPr>
          <w:rFonts w:ascii="Calibri" w:eastAsia="Times New Roman" w:hAnsi="Calibri" w:cs="Times New Roman"/>
        </w:rPr>
      </w:pPr>
      <w:r w:rsidRPr="004A5820">
        <w:rPr>
          <w:rFonts w:ascii="Calibri" w:eastAsia="Times New Roman" w:hAnsi="Calibri" w:cs="Times New Roman"/>
        </w:rPr>
        <w:t xml:space="preserve">Homeless children have access to public preschool programs as provided to other children in the district; </w:t>
      </w:r>
    </w:p>
    <w:p w14:paraId="603D83EF" w14:textId="77777777" w:rsidR="00BA4A8C" w:rsidRPr="004A5820" w:rsidRDefault="00BA4A8C" w:rsidP="004A5820">
      <w:pPr>
        <w:pStyle w:val="ListParagraph"/>
        <w:numPr>
          <w:ilvl w:val="0"/>
          <w:numId w:val="3"/>
        </w:numPr>
        <w:ind w:left="1800"/>
        <w:rPr>
          <w:rFonts w:ascii="Calibri" w:eastAsia="Times New Roman" w:hAnsi="Calibri" w:cs="Times New Roman"/>
        </w:rPr>
      </w:pPr>
      <w:r w:rsidRPr="004A5820">
        <w:rPr>
          <w:rFonts w:ascii="Calibri" w:eastAsia="Times New Roman" w:hAnsi="Calibri" w:cs="Times New Roman"/>
        </w:rPr>
        <w:t>Homeless children and youth separated from public schools are identified and accorded equal access to appropriate secondary education and support services, including by identifying and removing barriers that prevent youth described in this clause from receiving appropriate credit for full or partial coursework satisfactorily completed while attending a prior school, in accordance with State, local, and school policies; and</w:t>
      </w:r>
    </w:p>
    <w:p w14:paraId="32FB4B8E" w14:textId="77777777" w:rsidR="00BA4A8C" w:rsidRPr="004A5820" w:rsidRDefault="00BA4A8C" w:rsidP="004A5820">
      <w:pPr>
        <w:pStyle w:val="ListParagraph"/>
        <w:numPr>
          <w:ilvl w:val="0"/>
          <w:numId w:val="3"/>
        </w:numPr>
        <w:ind w:left="1800"/>
        <w:rPr>
          <w:rFonts w:ascii="Calibri" w:eastAsia="Times New Roman" w:hAnsi="Calibri" w:cs="Times New Roman"/>
        </w:rPr>
      </w:pPr>
      <w:r w:rsidRPr="004A5820">
        <w:rPr>
          <w:rFonts w:ascii="Calibri" w:eastAsia="Times New Roman" w:hAnsi="Calibri" w:cs="Times New Roman"/>
        </w:rPr>
        <w:t>Homeless children and youth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[Section 722(g)(1)(F)]”</w:t>
      </w:r>
    </w:p>
    <w:p w14:paraId="6D8E575B" w14:textId="77777777" w:rsidR="00BA4A8C" w:rsidRPr="004A5820" w:rsidRDefault="00BA4A8C" w:rsidP="003E487A">
      <w:pPr>
        <w:pStyle w:val="TableParagraph"/>
        <w:numPr>
          <w:ilvl w:val="0"/>
          <w:numId w:val="75"/>
        </w:numPr>
        <w:autoSpaceDE/>
        <w:autoSpaceDN/>
        <w:adjustRightInd/>
        <w:spacing w:after="120" w:line="239" w:lineRule="auto"/>
        <w:ind w:right="475"/>
        <w:rPr>
          <w:rFonts w:ascii="Calibri"/>
          <w:spacing w:val="-1"/>
          <w:sz w:val="22"/>
          <w:szCs w:val="22"/>
        </w:rPr>
      </w:pPr>
      <w:r w:rsidRPr="004A5820">
        <w:rPr>
          <w:rFonts w:ascii="Calibri"/>
          <w:spacing w:val="-1"/>
          <w:sz w:val="22"/>
          <w:szCs w:val="22"/>
        </w:rPr>
        <w:t>During district level ESEA Monitoring, DEED verifies that the procedures described in the application are, in fact, being implemented. DEED staff also reviews district policies to ensure adherence to the requirements of the federal and state law.</w:t>
      </w:r>
    </w:p>
    <w:p w14:paraId="6AD9AEC2" w14:textId="77777777" w:rsidR="00BA4A8C" w:rsidRDefault="00BA4A8C" w:rsidP="004A5820">
      <w:pPr>
        <w:rPr>
          <w:rFonts w:ascii="Calibri" w:hAnsi="Calibri"/>
        </w:rPr>
      </w:pPr>
      <w:r w:rsidRPr="004A5820">
        <w:rPr>
          <w:rFonts w:ascii="Calibri"/>
          <w:spacing w:val="-1"/>
        </w:rPr>
        <w:t>To support access to services in all districts statewide, the state coordinator for homeless education will focus on the three areas required</w:t>
      </w:r>
      <w:r w:rsidRPr="001C2001">
        <w:rPr>
          <w:rFonts w:ascii="Calibri"/>
          <w:color w:val="FF0000"/>
          <w:spacing w:val="-1"/>
        </w:rPr>
        <w:t>.</w:t>
      </w:r>
    </w:p>
    <w:p w14:paraId="22BD80EE" w14:textId="77777777" w:rsidR="00BA4A8C" w:rsidRPr="004A5820" w:rsidRDefault="00BA4A8C" w:rsidP="003E487A">
      <w:pPr>
        <w:pStyle w:val="ListParagraph"/>
        <w:numPr>
          <w:ilvl w:val="0"/>
          <w:numId w:val="78"/>
        </w:numPr>
        <w:rPr>
          <w:rFonts w:ascii="Calibri" w:hAnsi="Calibri"/>
        </w:rPr>
      </w:pPr>
      <w:r>
        <w:rPr>
          <w:rFonts w:ascii="Calibri" w:hAnsi="Calibri"/>
        </w:rPr>
        <w:t xml:space="preserve">The state does not administer public preschool programs directly. </w:t>
      </w:r>
      <w:r w:rsidRPr="004A5820">
        <w:rPr>
          <w:rFonts w:ascii="Calibri" w:hAnsi="Calibri"/>
        </w:rPr>
        <w:t xml:space="preserve">DEED ensures preschool-aged children experiencing homelessness have the same access to early childhood and preschool programs as all other students. </w:t>
      </w:r>
      <w:r w:rsidRPr="004A5820">
        <w:rPr>
          <w:rFonts w:ascii="Calibri"/>
          <w:spacing w:val="-1"/>
        </w:rPr>
        <w:t xml:space="preserve">To ensure that homeless children have access to public school preschool programs administered within the districts, the state coordinator will collaborate and coordinate efforts with the DEED Early Learning Specialist. They will collaborate with Alaska’s Best Beginnings Advisory Council and offer input to member agencies regarding the need to provide services to preschool children identified as homeless. The state coordinator will work with the DEED Head Start Collaboration Coordinator to ensure that children identified as homeless are prioritized for services within Head Start and Tribal Head Start programs. The state </w:t>
      </w:r>
      <w:r w:rsidRPr="004A5820">
        <w:rPr>
          <w:rFonts w:ascii="Calibri"/>
          <w:spacing w:val="-1"/>
        </w:rPr>
        <w:lastRenderedPageBreak/>
        <w:t>coordinator will provide information to the federal, state, and locally funded preschool programs to prioritize services to children identified as homeless who live in communities offering such programs. Upon request the state coordinator will provide training and technical assistance to Head Start and other state or federally funded preschool programs.</w:t>
      </w:r>
      <w:r w:rsidRPr="004A5820">
        <w:rPr>
          <w:rFonts w:ascii="Calibri" w:hAnsi="Calibri"/>
        </w:rPr>
        <w:t xml:space="preserve"> </w:t>
      </w:r>
    </w:p>
    <w:p w14:paraId="5B860792" w14:textId="77777777" w:rsidR="00BA4A8C" w:rsidRPr="004A5820" w:rsidRDefault="00BA4A8C" w:rsidP="003E487A">
      <w:pPr>
        <w:pStyle w:val="ListParagraph"/>
        <w:numPr>
          <w:ilvl w:val="0"/>
          <w:numId w:val="78"/>
        </w:numPr>
        <w:rPr>
          <w:rFonts w:ascii="Calibri" w:hAnsi="Calibri"/>
        </w:rPr>
      </w:pPr>
      <w:r w:rsidRPr="004A5820">
        <w:rPr>
          <w:rFonts w:ascii="Calibri" w:hAnsi="Calibri"/>
        </w:rPr>
        <w:t xml:space="preserve">Information gathered from a Student Residency Questionnaire will help district liaisons connect homeless, unaccompanied youth with service providers who will advocate on behalf of the children and youth to ensure they have the opportunity to return to school and participate in these programs. The State homeless coordinator works with district liaisons and school counselors at the secondary level to make sure homeless youth are receiving appropriate credit for full or partial coursework in accordance with State, local, and school policies. </w:t>
      </w:r>
      <w:r w:rsidRPr="004A5820">
        <w:rPr>
          <w:rFonts w:ascii="Calibri"/>
          <w:spacing w:val="-1"/>
        </w:rPr>
        <w:t>The state coordinator will collaborate with the Alaska Alternative School Coalition to increase awareness of the need to provide outreach and drop-out recovery programs to youth identified as homeless, including youth identified as runaways. These efforts will include credit recovery and alternative methods of meeting graduation requirements.</w:t>
      </w:r>
    </w:p>
    <w:p w14:paraId="26028398" w14:textId="5D805FC5" w:rsidR="00BA4A8C" w:rsidRDefault="00BA4A8C" w:rsidP="006641B6">
      <w:pPr>
        <w:pStyle w:val="ListParagraph"/>
        <w:numPr>
          <w:ilvl w:val="0"/>
          <w:numId w:val="78"/>
        </w:numPr>
        <w:rPr>
          <w:rFonts w:ascii="Calibri" w:hAnsi="Calibri"/>
        </w:rPr>
      </w:pPr>
      <w:r w:rsidRPr="004A5820">
        <w:rPr>
          <w:rFonts w:ascii="Calibri"/>
          <w:spacing w:val="-1"/>
        </w:rPr>
        <w:t xml:space="preserve">The state does not provide academic and extracurricular activities, including magnet school, summer school, career and technical education, advanced placement, online learning, and charter school programs directly. Charter schools in Alaska are chartered within a district as a public school. Districts are responsible for providing programs listed above, and the program options will vary by district. The State Homeless Education Coordinator will work with districts that need assistance in finding ways of eliminating barriers for homeless students to participate fully in such services. </w:t>
      </w:r>
      <w:r w:rsidRPr="004A5820">
        <w:rPr>
          <w:rFonts w:ascii="Calibri"/>
          <w:spacing w:val="-1"/>
        </w:rPr>
        <w:br/>
      </w:r>
      <w:r w:rsidRPr="004A5820">
        <w:rPr>
          <w:rFonts w:ascii="Calibri"/>
          <w:spacing w:val="-1"/>
        </w:rPr>
        <w:br/>
        <w:t xml:space="preserve">The state coordinator collaborates with the Alaska Career and Technical Education section to ensure access to career-based programs and Career and Technical Student Organizations (CTSO) such as FFA, FCCLA, HOSA, </w:t>
      </w:r>
      <w:proofErr w:type="spellStart"/>
      <w:r w:rsidRPr="004A5820">
        <w:rPr>
          <w:rFonts w:ascii="Calibri"/>
          <w:spacing w:val="-1"/>
        </w:rPr>
        <w:t>SkillsUSA</w:t>
      </w:r>
      <w:proofErr w:type="spellEnd"/>
      <w:r w:rsidRPr="004A5820">
        <w:rPr>
          <w:rFonts w:ascii="Calibri"/>
          <w:spacing w:val="-1"/>
        </w:rPr>
        <w:t xml:space="preserve">, </w:t>
      </w:r>
      <w:proofErr w:type="spellStart"/>
      <w:r w:rsidRPr="004A5820">
        <w:rPr>
          <w:rFonts w:ascii="Calibri"/>
          <w:spacing w:val="-1"/>
        </w:rPr>
        <w:t>ProStart</w:t>
      </w:r>
      <w:proofErr w:type="spellEnd"/>
      <w:r w:rsidRPr="004A5820">
        <w:rPr>
          <w:rFonts w:ascii="Calibri"/>
          <w:spacing w:val="-1"/>
        </w:rPr>
        <w:t>, dual-credit, and industry certifications. District homeless liaisons will coordinate with CTE advisors to provide students with items required to participate, including fees, equipment, tools, uniforms, or other clothing items. The state coordinator encourages districts to provide opportunities for students identified as homeless to enroll in Advanced Placement Courses, International Baccalaureate Programs, Dual Enrollment Programs, Gifted and Talented Programs, and other academic programs. Through collaborative efforts with nonprofits and other community agencies, district homeless liaisons are encouraged to reach out to the local community to provide items needed for participation in extra-curricular activities, including athletic gear, participation fees, musical instruments, and other tools or equipment as necessary. Districts will provide students identified as homeless with access to credit recovery and other alternative opportunities to obtain credit, including summer school, before and after school learning opportunities, and online credit recovery and learning options.</w:t>
      </w:r>
      <w:r w:rsidRPr="001C2001">
        <w:rPr>
          <w:rFonts w:ascii="Calibri"/>
          <w:color w:val="FF0000"/>
          <w:spacing w:val="-1"/>
        </w:rPr>
        <w:t xml:space="preserve"> </w:t>
      </w:r>
      <w:r w:rsidRPr="004A5820">
        <w:rPr>
          <w:rFonts w:ascii="Calibri" w:hAnsi="Calibri"/>
        </w:rPr>
        <w:t>Every effort will be made by the districts and schools to remove barriers to homeless children and youth participating in all academic and extracurricular activities. DEED will work with state athletic associations to ensure access and opportunity is available for all students.</w:t>
      </w:r>
    </w:p>
    <w:p w14:paraId="20E6EEEC" w14:textId="77777777" w:rsidR="003E487A" w:rsidRPr="004A5820" w:rsidRDefault="003E487A" w:rsidP="003E487A">
      <w:pPr>
        <w:pStyle w:val="ListParagraph"/>
        <w:rPr>
          <w:rFonts w:ascii="Calibri" w:hAnsi="Calibri"/>
        </w:rPr>
      </w:pPr>
    </w:p>
    <w:p w14:paraId="72FFFA7B" w14:textId="741D2741" w:rsidR="003E487A" w:rsidRPr="003E487A" w:rsidRDefault="00BA4A8C" w:rsidP="003E487A">
      <w:pPr>
        <w:pStyle w:val="Heading2"/>
        <w:numPr>
          <w:ilvl w:val="0"/>
          <w:numId w:val="105"/>
        </w:numPr>
        <w:ind w:left="900"/>
        <w:rPr>
          <w:rFonts w:eastAsiaTheme="minorHAnsi"/>
        </w:rPr>
      </w:pPr>
      <w:r w:rsidRPr="003E487A">
        <w:rPr>
          <w:rFonts w:eastAsia="Times New Roman"/>
        </w:rPr>
        <w:t>Strategies to Address Other Problems</w:t>
      </w:r>
    </w:p>
    <w:p w14:paraId="2E60229A" w14:textId="13670A39" w:rsidR="00BA4A8C" w:rsidRPr="003E487A" w:rsidRDefault="00BA4A8C" w:rsidP="003E487A">
      <w:pPr>
        <w:ind w:left="540"/>
        <w:rPr>
          <w:rFonts w:ascii="Calibri" w:hAnsi="Calibri"/>
        </w:rPr>
      </w:pPr>
      <w:r w:rsidRPr="003E487A">
        <w:rPr>
          <w:rFonts w:ascii="Calibri" w:hAnsi="Calibri"/>
        </w:rPr>
        <w:t>(722(g</w:t>
      </w:r>
      <w:proofErr w:type="gramStart"/>
      <w:r w:rsidRPr="003E487A">
        <w:rPr>
          <w:rFonts w:ascii="Calibri" w:hAnsi="Calibri"/>
        </w:rPr>
        <w:t>)(</w:t>
      </w:r>
      <w:proofErr w:type="gramEnd"/>
      <w:r w:rsidRPr="003E487A">
        <w:rPr>
          <w:rFonts w:ascii="Calibri" w:hAnsi="Calibri"/>
        </w:rPr>
        <w:t>1)H) of the McKinney-Vento Act): Provide strategies to address other problems with respect to the education of homeless children and youth, including problems resulting from enrollment delays that are caused by:</w:t>
      </w:r>
    </w:p>
    <w:p w14:paraId="391C2731" w14:textId="77777777" w:rsidR="00BA4A8C" w:rsidRPr="003E487A" w:rsidRDefault="00BA4A8C" w:rsidP="003E487A">
      <w:pPr>
        <w:rPr>
          <w:rFonts w:ascii="Calibri" w:hAnsi="Calibri"/>
        </w:rPr>
      </w:pPr>
      <w:r w:rsidRPr="003E487A">
        <w:rPr>
          <w:rFonts w:ascii="Calibri" w:hAnsi="Calibri"/>
        </w:rPr>
        <w:lastRenderedPageBreak/>
        <w:t>Requirements of immunization and other required health records;</w:t>
      </w:r>
    </w:p>
    <w:p w14:paraId="081853F4" w14:textId="77777777" w:rsidR="00BA4A8C" w:rsidRPr="003E487A" w:rsidRDefault="00BA4A8C" w:rsidP="003E487A">
      <w:pPr>
        <w:rPr>
          <w:rFonts w:ascii="Calibri" w:hAnsi="Calibri"/>
        </w:rPr>
      </w:pPr>
      <w:r w:rsidRPr="003E487A">
        <w:rPr>
          <w:rFonts w:ascii="Calibri" w:hAnsi="Calibri"/>
        </w:rPr>
        <w:t>Residency requirements;</w:t>
      </w:r>
    </w:p>
    <w:p w14:paraId="28596041" w14:textId="77777777" w:rsidR="00BA4A8C" w:rsidRPr="003E487A" w:rsidRDefault="00BA4A8C" w:rsidP="003E487A">
      <w:pPr>
        <w:rPr>
          <w:rFonts w:ascii="Calibri" w:hAnsi="Calibri"/>
        </w:rPr>
      </w:pPr>
      <w:r w:rsidRPr="003E487A">
        <w:rPr>
          <w:rFonts w:ascii="Calibri" w:hAnsi="Calibri"/>
        </w:rPr>
        <w:t>Lack of birth certificates, school records, or other documents;</w:t>
      </w:r>
    </w:p>
    <w:p w14:paraId="07CE6254" w14:textId="77777777" w:rsidR="00BA4A8C" w:rsidRPr="003E487A" w:rsidRDefault="00BA4A8C" w:rsidP="003E487A">
      <w:pPr>
        <w:rPr>
          <w:rFonts w:ascii="Calibri" w:hAnsi="Calibri"/>
        </w:rPr>
      </w:pPr>
      <w:r w:rsidRPr="003E487A">
        <w:rPr>
          <w:rFonts w:ascii="Calibri" w:hAnsi="Calibri"/>
        </w:rPr>
        <w:t>Guardianship issues; or</w:t>
      </w:r>
    </w:p>
    <w:p w14:paraId="139ED349" w14:textId="77777777" w:rsidR="00BA4A8C" w:rsidRPr="003E487A" w:rsidRDefault="00BA4A8C" w:rsidP="003E487A">
      <w:pPr>
        <w:rPr>
          <w:rFonts w:ascii="Calibri" w:hAnsi="Calibri"/>
        </w:rPr>
      </w:pPr>
      <w:r w:rsidRPr="003E487A">
        <w:rPr>
          <w:rFonts w:ascii="Calibri" w:hAnsi="Calibri"/>
        </w:rPr>
        <w:t>Uniform or dress code requirements</w:t>
      </w:r>
    </w:p>
    <w:p w14:paraId="4F1C55C9" w14:textId="77777777" w:rsidR="00BA4A8C" w:rsidRPr="00F80FBA" w:rsidRDefault="00BA4A8C" w:rsidP="00424E73">
      <w:pPr>
        <w:rPr>
          <w:rFonts w:ascii="Calibri" w:hAnsi="Calibri"/>
        </w:rPr>
      </w:pPr>
      <w:r>
        <w:rPr>
          <w:rFonts w:ascii="Calibri" w:hAnsi="Calibri"/>
        </w:rPr>
        <w:t>Processes and procedures in Alaska allow any homeless student or youth to enroll immediately. Verification of these policies will occur during scheduled ESEA monitoring visits.</w:t>
      </w:r>
    </w:p>
    <w:p w14:paraId="4D464258" w14:textId="77777777" w:rsidR="00BA4A8C" w:rsidRPr="006A6CDF" w:rsidRDefault="00BA4A8C" w:rsidP="00424E73">
      <w:pPr>
        <w:rPr>
          <w:rFonts w:ascii="Calibri" w:hAnsi="Calibri"/>
          <w:u w:val="single"/>
        </w:rPr>
      </w:pPr>
      <w:r w:rsidRPr="006A6CDF">
        <w:rPr>
          <w:rFonts w:ascii="Calibri" w:hAnsi="Calibri"/>
          <w:u w:val="single"/>
        </w:rPr>
        <w:t>Immunization and other required health records:</w:t>
      </w:r>
    </w:p>
    <w:p w14:paraId="1B6C07C8" w14:textId="77777777" w:rsidR="00BA4A8C" w:rsidRDefault="00BA4A8C" w:rsidP="00424E73">
      <w:pPr>
        <w:rPr>
          <w:rFonts w:ascii="Calibri" w:hAnsi="Calibri"/>
        </w:rPr>
      </w:pPr>
      <w:r>
        <w:rPr>
          <w:rFonts w:ascii="Calibri" w:hAnsi="Calibri"/>
        </w:rPr>
        <w:t xml:space="preserve">Homeless students may provisionally enroll in a public school for a period of up to 30 days while proof of immunization records are obtained. Upon enrollment, the Homeless Liaison is contacted to help facilitate obtaining immunization records or immunizations for the students as necessary. The Alaska Division of Public Health works with the district to ensure the proper services are provided so the student can attend school immediately. </w:t>
      </w:r>
    </w:p>
    <w:p w14:paraId="5378499B" w14:textId="77777777" w:rsidR="00BA4A8C" w:rsidRDefault="00BA4A8C" w:rsidP="00424E73">
      <w:pPr>
        <w:rPr>
          <w:rFonts w:ascii="Calibri" w:hAnsi="Calibri"/>
          <w:u w:val="single"/>
        </w:rPr>
      </w:pPr>
      <w:r w:rsidRPr="006A6CDF">
        <w:rPr>
          <w:rFonts w:ascii="Calibri" w:hAnsi="Calibri"/>
          <w:u w:val="single"/>
        </w:rPr>
        <w:t xml:space="preserve">Residency </w:t>
      </w:r>
      <w:r>
        <w:rPr>
          <w:rFonts w:ascii="Calibri" w:hAnsi="Calibri"/>
          <w:u w:val="single"/>
        </w:rPr>
        <w:t>r</w:t>
      </w:r>
      <w:r w:rsidRPr="006A6CDF">
        <w:rPr>
          <w:rFonts w:ascii="Calibri" w:hAnsi="Calibri"/>
          <w:u w:val="single"/>
        </w:rPr>
        <w:t>equirements:</w:t>
      </w:r>
    </w:p>
    <w:p w14:paraId="48ACA164" w14:textId="77777777" w:rsidR="00BA4A8C" w:rsidRPr="00BF7440" w:rsidRDefault="00BA4A8C" w:rsidP="00424E73">
      <w:pPr>
        <w:rPr>
          <w:rFonts w:ascii="Calibri" w:hAnsi="Calibri"/>
        </w:rPr>
      </w:pPr>
      <w:r>
        <w:rPr>
          <w:rFonts w:ascii="Calibri" w:hAnsi="Calibri"/>
        </w:rPr>
        <w:t>The district will have a Student Residency Questionnaire (nighttime living status of every homeless student). This form will ask questions about the family, where the family is staying, and siblings. The district liaison can coordinate with various agencies and service providers who work with homeless youth.</w:t>
      </w:r>
    </w:p>
    <w:p w14:paraId="360559AF" w14:textId="77777777" w:rsidR="00BA4A8C" w:rsidRDefault="00BA4A8C" w:rsidP="00424E73">
      <w:pPr>
        <w:rPr>
          <w:rFonts w:ascii="Calibri" w:hAnsi="Calibri"/>
          <w:u w:val="single"/>
        </w:rPr>
      </w:pPr>
      <w:r>
        <w:rPr>
          <w:rFonts w:ascii="Calibri" w:hAnsi="Calibri"/>
          <w:u w:val="single"/>
        </w:rPr>
        <w:t>Lack of birth certificates, school records, or other documents:</w:t>
      </w:r>
    </w:p>
    <w:p w14:paraId="064E5FA7" w14:textId="77777777" w:rsidR="00BA4A8C" w:rsidRPr="00CB145B" w:rsidRDefault="00BA4A8C" w:rsidP="00424E73">
      <w:pPr>
        <w:rPr>
          <w:rFonts w:ascii="Calibri" w:hAnsi="Calibri"/>
        </w:rPr>
      </w:pPr>
      <w:r>
        <w:rPr>
          <w:rFonts w:ascii="Calibri" w:hAnsi="Calibri"/>
        </w:rPr>
        <w:t>DEED verifies that district policies provide for time-line waivers for producing medical, school, and other records so that homeless students can immediately be enrolled in school.</w:t>
      </w:r>
    </w:p>
    <w:p w14:paraId="3F6264E5" w14:textId="77777777" w:rsidR="00BA4A8C" w:rsidRDefault="00BA4A8C" w:rsidP="00424E73">
      <w:pPr>
        <w:rPr>
          <w:rFonts w:ascii="Calibri" w:hAnsi="Calibri"/>
          <w:u w:val="single"/>
        </w:rPr>
      </w:pPr>
      <w:r>
        <w:rPr>
          <w:rFonts w:ascii="Calibri" w:hAnsi="Calibri"/>
          <w:u w:val="single"/>
        </w:rPr>
        <w:t>Guardianship issues:</w:t>
      </w:r>
    </w:p>
    <w:p w14:paraId="3CC56DF3" w14:textId="77777777" w:rsidR="00BA4A8C" w:rsidRPr="002B5D17" w:rsidRDefault="00BA4A8C" w:rsidP="00424E73">
      <w:pPr>
        <w:rPr>
          <w:rFonts w:ascii="Calibri" w:hAnsi="Calibri"/>
        </w:rPr>
      </w:pPr>
      <w:r>
        <w:rPr>
          <w:rFonts w:ascii="Calibri" w:hAnsi="Calibri"/>
        </w:rPr>
        <w:t>DEED verifies that districts have developed a caregiver form establishing responsibilities of caregivers that requests their contact information in lieu of traditional proof of guardianship. This form should not create further barriers or delay school enrollment.</w:t>
      </w:r>
    </w:p>
    <w:p w14:paraId="13EFE316" w14:textId="77777777" w:rsidR="00BA4A8C" w:rsidRDefault="00BA4A8C" w:rsidP="00424E73">
      <w:pPr>
        <w:rPr>
          <w:rFonts w:ascii="Calibri" w:hAnsi="Calibri"/>
          <w:u w:val="single"/>
        </w:rPr>
      </w:pPr>
      <w:r>
        <w:rPr>
          <w:rFonts w:ascii="Calibri" w:hAnsi="Calibri"/>
          <w:u w:val="single"/>
        </w:rPr>
        <w:t>Uniform or dress code requirements:</w:t>
      </w:r>
    </w:p>
    <w:p w14:paraId="74E78899" w14:textId="77777777" w:rsidR="00BA4A8C" w:rsidRDefault="00BA4A8C" w:rsidP="00424E73">
      <w:pPr>
        <w:rPr>
          <w:rFonts w:ascii="Calibri" w:hAnsi="Calibri"/>
        </w:rPr>
      </w:pPr>
      <w:r>
        <w:rPr>
          <w:rFonts w:ascii="Calibri" w:hAnsi="Calibri"/>
        </w:rPr>
        <w:t xml:space="preserve">DEED verifies that district policies provide waivers for uniform fees or other strategies to ensure that uniform or dress code requirements do not delay school enrollment for homeless students and to allow them to fully participate in all aspects of school immediately. </w:t>
      </w:r>
    </w:p>
    <w:p w14:paraId="49818D0A" w14:textId="6C6E8F11" w:rsidR="003E487A" w:rsidRDefault="00BA4A8C" w:rsidP="003E487A">
      <w:pPr>
        <w:pStyle w:val="Heading2"/>
        <w:numPr>
          <w:ilvl w:val="0"/>
          <w:numId w:val="105"/>
        </w:numPr>
        <w:ind w:left="900"/>
      </w:pPr>
      <w:r w:rsidRPr="003E487A">
        <w:rPr>
          <w:rFonts w:eastAsia="Times New Roman"/>
        </w:rPr>
        <w:t>Policies to Remove Ba</w:t>
      </w:r>
      <w:r w:rsidR="003E487A">
        <w:t>rriers</w:t>
      </w:r>
    </w:p>
    <w:p w14:paraId="4104C5E9" w14:textId="222D9388" w:rsidR="00BA4A8C" w:rsidRPr="003E487A" w:rsidRDefault="00BA4A8C" w:rsidP="003E487A">
      <w:pPr>
        <w:ind w:left="540"/>
        <w:rPr>
          <w:rFonts w:ascii="Calibri" w:hAnsi="Calibri"/>
        </w:rPr>
      </w:pPr>
      <w:r w:rsidRPr="003E487A">
        <w:rPr>
          <w:rFonts w:ascii="Calibri" w:hAnsi="Calibri"/>
          <w:i/>
        </w:rPr>
        <w:t>(722(g</w:t>
      </w:r>
      <w:proofErr w:type="gramStart"/>
      <w:r w:rsidRPr="003E487A">
        <w:rPr>
          <w:rFonts w:ascii="Calibri" w:hAnsi="Calibri"/>
          <w:i/>
        </w:rPr>
        <w:t>)(</w:t>
      </w:r>
      <w:proofErr w:type="gramEnd"/>
      <w:r w:rsidRPr="003E487A">
        <w:rPr>
          <w:rFonts w:ascii="Calibri" w:hAnsi="Calibri"/>
          <w:i/>
        </w:rPr>
        <w:t>1)(I) of McKinney-Vento Act)</w:t>
      </w:r>
      <w:r w:rsidRPr="003E487A">
        <w:rPr>
          <w:rFonts w:ascii="Calibri" w:hAnsi="Calibri"/>
        </w:rPr>
        <w:t xml:space="preserve"> Demonstrate that the SEA and LEAs in the State have developed, and shall review and revise, policies to remove barriers to the identification of homeless children and youth in schools in the State, including barriers to enrollment and retention due to outstanding fees or fines, or absences.</w:t>
      </w:r>
    </w:p>
    <w:p w14:paraId="6F294B37" w14:textId="77777777" w:rsidR="00BA4A8C" w:rsidRPr="00F57628" w:rsidRDefault="00BA4A8C" w:rsidP="00F57628">
      <w:r w:rsidRPr="00F57628">
        <w:t xml:space="preserve">The state coordinator will periodically review and recommend revisions to state-level policies or procedures that may create barriers to the identification, enrollment, and retention of students identified as homeless, including barriers to enrollment and retention due to outstanding fees or fines, </w:t>
      </w:r>
      <w:r w:rsidRPr="00F57628">
        <w:lastRenderedPageBreak/>
        <w:t xml:space="preserve">or absences. This review will be conducted in collaboration and coordination with other state and federally funded programs, including Title I, Title III, Migrant Education, IDEA, and Indian Education. Such review will be conducted with input from districts receiving </w:t>
      </w:r>
      <w:proofErr w:type="spellStart"/>
      <w:r w:rsidRPr="00F57628">
        <w:t>subgrant</w:t>
      </w:r>
      <w:proofErr w:type="spellEnd"/>
      <w:r w:rsidRPr="00F57628">
        <w:t xml:space="preserve"> funds as well as representatives from districts representing urban and rural communities. DEED will continue to provide written guidance documents regarding the need to enroll and retain children and youth who are homeless, including the unique needs of various at-risk and diverse subgroups of students. The state coordinator will collaborate with other divisions within DEED that provide specific support, such as Migrant Education, Indian Education, Special Education, Gifted and Talented Education, Preschool Programs, Career and Technical Education, and other programs and initiatives relevant to the needs of children and youth identified as homeless.</w:t>
      </w:r>
    </w:p>
    <w:p w14:paraId="513A8C49" w14:textId="77777777" w:rsidR="00BA4A8C" w:rsidRPr="00F57628" w:rsidRDefault="00BA4A8C" w:rsidP="00F57628">
      <w:pPr>
        <w:rPr>
          <w:rFonts w:ascii="Calibri"/>
          <w:spacing w:val="-1"/>
        </w:rPr>
      </w:pPr>
      <w:r w:rsidRPr="00F57628">
        <w:rPr>
          <w:rFonts w:ascii="Calibri"/>
          <w:spacing w:val="-1"/>
        </w:rPr>
        <w:t xml:space="preserve">DEED requires districts to answer the following question in their annual ESEA Consolidated Grant application. Responses to the question are reviewed during application review, and are required to be revised if the district policies do not meet the requirement of reducing barriers. </w:t>
      </w:r>
      <w:r w:rsidRPr="00F57628">
        <w:rPr>
          <w:rFonts w:ascii="Calibri" w:hAnsi="Calibri"/>
        </w:rPr>
        <w:t xml:space="preserve">DEED verifies through monitoring </w:t>
      </w:r>
      <w:r w:rsidRPr="00BC094D">
        <w:rPr>
          <w:rFonts w:ascii="Calibri" w:hAnsi="Calibri"/>
        </w:rPr>
        <w:t>that district liaisons and district policies and practices do not act as barriers to enrolling homeless students, including public notices of rights, enrollment assistance, waivers for producing medical records, school records,</w:t>
      </w:r>
      <w:r w:rsidRPr="004A45DB">
        <w:rPr>
          <w:rFonts w:ascii="Calibri" w:hAnsi="Calibri"/>
        </w:rPr>
        <w:t xml:space="preserve"> or other potential obstacles to enrollment. </w:t>
      </w:r>
      <w:r w:rsidRPr="00F57628">
        <w:rPr>
          <w:rFonts w:ascii="Calibri"/>
          <w:spacing w:val="-1"/>
        </w:rPr>
        <w:t>The state will continue to provide technical assistance on policies to remove all barriers, and will work with districts through the application review and monitoring processes to review and revise those policies as needed.</w:t>
      </w:r>
    </w:p>
    <w:p w14:paraId="4E24BB1D" w14:textId="77777777" w:rsidR="00BA4A8C" w:rsidRPr="00F57628" w:rsidRDefault="00BA4A8C" w:rsidP="00F57628">
      <w:pPr>
        <w:ind w:left="720"/>
        <w:rPr>
          <w:rFonts w:ascii="Calibri"/>
          <w:spacing w:val="-1"/>
        </w:rPr>
      </w:pPr>
      <w:r w:rsidRPr="00F57628">
        <w:rPr>
          <w:b/>
        </w:rPr>
        <w:t xml:space="preserve">“D.6   Homeless Children &amp; Youth – Policies to Remove Barriers </w:t>
      </w:r>
    </w:p>
    <w:p w14:paraId="722B2545" w14:textId="77777777" w:rsidR="00BA4A8C" w:rsidRDefault="00BA4A8C" w:rsidP="00F57628">
      <w:pPr>
        <w:ind w:left="720"/>
        <w:rPr>
          <w:rFonts w:ascii="Calibri" w:hAnsi="Calibri"/>
        </w:rPr>
      </w:pPr>
      <w:r w:rsidRPr="00F57628">
        <w:t>Demonstrate that the district has developed, and shall review and revise, policies to remove barriers to the identification of homeless children and youth, including barriers to enrollment and retention due to outstanding fees or fines, or absences. [Section 722(g</w:t>
      </w:r>
      <w:proofErr w:type="gramStart"/>
      <w:r w:rsidRPr="00F57628">
        <w:t>)(</w:t>
      </w:r>
      <w:proofErr w:type="gramEnd"/>
      <w:r w:rsidRPr="00F57628">
        <w:t>1)(I)]”</w:t>
      </w:r>
    </w:p>
    <w:p w14:paraId="3EA76804" w14:textId="159A73CA" w:rsidR="003E487A" w:rsidRDefault="00BA4A8C" w:rsidP="003E487A">
      <w:pPr>
        <w:pStyle w:val="Heading2"/>
        <w:numPr>
          <w:ilvl w:val="0"/>
          <w:numId w:val="105"/>
        </w:numPr>
        <w:ind w:left="900"/>
      </w:pPr>
      <w:r w:rsidRPr="003E487A">
        <w:rPr>
          <w:rFonts w:eastAsiaTheme="minorHAnsi"/>
        </w:rPr>
        <w:t>Assistance for Counselors</w:t>
      </w:r>
    </w:p>
    <w:p w14:paraId="7E4323B6" w14:textId="5AC124A3" w:rsidR="00BA4A8C" w:rsidRPr="003E487A" w:rsidRDefault="00BA4A8C" w:rsidP="003E487A">
      <w:pPr>
        <w:spacing w:after="160"/>
        <w:ind w:left="360"/>
      </w:pPr>
      <w:r w:rsidRPr="003E487A">
        <w:rPr>
          <w:i/>
        </w:rPr>
        <w:t>(722(g</w:t>
      </w:r>
      <w:proofErr w:type="gramStart"/>
      <w:r w:rsidRPr="003E487A">
        <w:rPr>
          <w:i/>
        </w:rPr>
        <w:t>)(</w:t>
      </w:r>
      <w:proofErr w:type="gramEnd"/>
      <w:r w:rsidRPr="003E487A">
        <w:rPr>
          <w:i/>
        </w:rPr>
        <w:t>2)(K))</w:t>
      </w:r>
      <w:r w:rsidRPr="003E487A">
        <w:t>: A description of how youths described in section 725(2) will receive assistance from counselors to advise such youths, and prepare and improve the readiness of such youths for college.</w:t>
      </w:r>
    </w:p>
    <w:p w14:paraId="70BDECD5" w14:textId="77777777" w:rsidR="00BA4A8C" w:rsidRPr="00F57628" w:rsidRDefault="00BA4A8C" w:rsidP="00424E73">
      <w:r w:rsidRPr="00F57628">
        <w:t>The state coordinator will work with the DEED School Counselor and the Alaska School Counselors Association to increase awareness among school counselors of the need to assist high school students identified as homeless in receiving appropriate credit for full or partial coursework. The state coordinator will also work with the AKSCA to provide all school counselors in the state with training regarding the need to assist students identified as homeless in preparing for college, careers, or community across the K-12 continuum. It is recommended that all school counselors participate in professional development to increase awareness of the unique needs of children and youth experiencing homelessness. Webinars are available through the federal technical assistance provider and the American School Counseling Association.</w:t>
      </w:r>
    </w:p>
    <w:p w14:paraId="74B3DC41" w14:textId="77777777" w:rsidR="00BA4A8C" w:rsidRDefault="00BA4A8C" w:rsidP="00424E73">
      <w:pPr>
        <w:rPr>
          <w:rFonts w:ascii="Calibri" w:hAnsi="Calibri"/>
        </w:rPr>
      </w:pPr>
      <w:r w:rsidRPr="00C76CA7">
        <w:rPr>
          <w:rFonts w:ascii="Calibri" w:hAnsi="Calibri"/>
        </w:rPr>
        <w:t>A multi-program approach is used to support counselors assist</w:t>
      </w:r>
      <w:r>
        <w:rPr>
          <w:rFonts w:ascii="Calibri" w:hAnsi="Calibri"/>
        </w:rPr>
        <w:t>ing</w:t>
      </w:r>
      <w:r w:rsidRPr="00C76CA7">
        <w:rPr>
          <w:rFonts w:ascii="Calibri" w:hAnsi="Calibri"/>
        </w:rPr>
        <w:t xml:space="preserve"> homeless students. </w:t>
      </w:r>
    </w:p>
    <w:p w14:paraId="33159B5B" w14:textId="77777777" w:rsidR="00BA4A8C" w:rsidRPr="00AD57EF" w:rsidRDefault="00BA4A8C" w:rsidP="00424E73">
      <w:pPr>
        <w:pStyle w:val="ListParagraph"/>
        <w:numPr>
          <w:ilvl w:val="0"/>
          <w:numId w:val="9"/>
        </w:numPr>
        <w:rPr>
          <w:rFonts w:ascii="Calibri" w:hAnsi="Calibri"/>
        </w:rPr>
      </w:pPr>
      <w:r w:rsidRPr="00AD57EF">
        <w:rPr>
          <w:rFonts w:ascii="Calibri" w:hAnsi="Calibri"/>
        </w:rPr>
        <w:t>DEED’s School Health and Safety Team provides school counselors with information and support on:</w:t>
      </w:r>
    </w:p>
    <w:p w14:paraId="5EF5C1B5" w14:textId="77777777" w:rsidR="00BA4A8C" w:rsidRPr="00C76CA7" w:rsidRDefault="00BA4A8C" w:rsidP="00424E73">
      <w:pPr>
        <w:pStyle w:val="ListParagraph"/>
        <w:numPr>
          <w:ilvl w:val="0"/>
          <w:numId w:val="10"/>
        </w:numPr>
        <w:rPr>
          <w:rFonts w:ascii="Calibri" w:hAnsi="Calibri"/>
        </w:rPr>
      </w:pPr>
      <w:r w:rsidRPr="00C76CA7">
        <w:rPr>
          <w:rFonts w:ascii="Calibri" w:hAnsi="Calibri"/>
        </w:rPr>
        <w:t>Trauma</w:t>
      </w:r>
      <w:r>
        <w:rPr>
          <w:rFonts w:ascii="Calibri" w:hAnsi="Calibri"/>
        </w:rPr>
        <w:t>-</w:t>
      </w:r>
      <w:r w:rsidRPr="00C76CA7">
        <w:rPr>
          <w:rFonts w:ascii="Calibri" w:hAnsi="Calibri"/>
        </w:rPr>
        <w:t>informed schools</w:t>
      </w:r>
    </w:p>
    <w:p w14:paraId="151519D1" w14:textId="77777777" w:rsidR="00BA4A8C" w:rsidRDefault="00BA4A8C" w:rsidP="00424E73">
      <w:pPr>
        <w:pStyle w:val="ListParagraph"/>
        <w:numPr>
          <w:ilvl w:val="0"/>
          <w:numId w:val="10"/>
        </w:numPr>
        <w:rPr>
          <w:rFonts w:ascii="Calibri" w:hAnsi="Calibri"/>
        </w:rPr>
      </w:pPr>
      <w:r>
        <w:rPr>
          <w:rFonts w:ascii="Calibri" w:hAnsi="Calibri"/>
        </w:rPr>
        <w:t>Suicide prevention</w:t>
      </w:r>
    </w:p>
    <w:p w14:paraId="658C3154" w14:textId="77777777" w:rsidR="00BA4A8C" w:rsidRDefault="00BA4A8C" w:rsidP="00424E73">
      <w:pPr>
        <w:pStyle w:val="ListParagraph"/>
        <w:numPr>
          <w:ilvl w:val="0"/>
          <w:numId w:val="10"/>
        </w:numPr>
        <w:rPr>
          <w:rFonts w:ascii="Calibri" w:hAnsi="Calibri"/>
        </w:rPr>
      </w:pPr>
      <w:r>
        <w:rPr>
          <w:rFonts w:ascii="Calibri" w:hAnsi="Calibri"/>
        </w:rPr>
        <w:t>Partnerships with State agencies that provide health and safety related services</w:t>
      </w:r>
    </w:p>
    <w:p w14:paraId="4E4D4B84" w14:textId="77777777" w:rsidR="00BA4A8C" w:rsidRPr="00AD57EF" w:rsidRDefault="00BA4A8C" w:rsidP="00424E73">
      <w:pPr>
        <w:pStyle w:val="ListParagraph"/>
        <w:numPr>
          <w:ilvl w:val="0"/>
          <w:numId w:val="7"/>
        </w:numPr>
        <w:ind w:left="697"/>
        <w:rPr>
          <w:rFonts w:ascii="Calibri" w:hAnsi="Calibri"/>
        </w:rPr>
      </w:pPr>
      <w:r w:rsidRPr="00AD57EF">
        <w:rPr>
          <w:rFonts w:ascii="Calibri" w:hAnsi="Calibri"/>
        </w:rPr>
        <w:lastRenderedPageBreak/>
        <w:t>The Federal Programs team provides support and guidance about funding available through Title I-A to support homeless students.</w:t>
      </w:r>
    </w:p>
    <w:p w14:paraId="4EA715A8" w14:textId="77777777" w:rsidR="00BA4A8C" w:rsidRDefault="00BA4A8C" w:rsidP="00424E73">
      <w:pPr>
        <w:rPr>
          <w:rFonts w:ascii="Calibri" w:hAnsi="Calibri"/>
        </w:rPr>
      </w:pPr>
      <w:r>
        <w:rPr>
          <w:rFonts w:ascii="Calibri" w:hAnsi="Calibri"/>
        </w:rPr>
        <w:t xml:space="preserve">To support homeless students and youth prepare for college and career readiness, DEED will provide support and </w:t>
      </w:r>
      <w:proofErr w:type="gramStart"/>
      <w:r>
        <w:rPr>
          <w:rFonts w:ascii="Calibri" w:hAnsi="Calibri"/>
        </w:rPr>
        <w:t>resources  for</w:t>
      </w:r>
      <w:proofErr w:type="gramEnd"/>
      <w:r>
        <w:rPr>
          <w:rFonts w:ascii="Calibri" w:hAnsi="Calibri"/>
        </w:rPr>
        <w:t xml:space="preserve"> school counselors to assist these students, as well as provide information regarding resources for:</w:t>
      </w:r>
    </w:p>
    <w:p w14:paraId="7AF6BCB2" w14:textId="77777777" w:rsidR="00BA4A8C" w:rsidRPr="00074C87" w:rsidRDefault="00BA4A8C" w:rsidP="00424E73">
      <w:pPr>
        <w:pStyle w:val="ListParagraph"/>
        <w:numPr>
          <w:ilvl w:val="0"/>
          <w:numId w:val="6"/>
        </w:numPr>
        <w:rPr>
          <w:rFonts w:ascii="Calibri" w:hAnsi="Calibri"/>
        </w:rPr>
      </w:pPr>
      <w:r w:rsidRPr="00074C87">
        <w:rPr>
          <w:rFonts w:ascii="Calibri" w:hAnsi="Calibri"/>
        </w:rPr>
        <w:t>Credit Recovery</w:t>
      </w:r>
    </w:p>
    <w:p w14:paraId="66B203BB" w14:textId="77777777" w:rsidR="00BA4A8C" w:rsidRPr="00074C87" w:rsidRDefault="00BA4A8C" w:rsidP="00424E73">
      <w:pPr>
        <w:pStyle w:val="ListParagraph"/>
        <w:numPr>
          <w:ilvl w:val="0"/>
          <w:numId w:val="6"/>
        </w:numPr>
        <w:rPr>
          <w:rFonts w:ascii="Calibri" w:hAnsi="Calibri"/>
        </w:rPr>
      </w:pPr>
      <w:r w:rsidRPr="00074C87">
        <w:rPr>
          <w:rFonts w:ascii="Calibri" w:hAnsi="Calibri"/>
        </w:rPr>
        <w:t xml:space="preserve">Tutoring </w:t>
      </w:r>
    </w:p>
    <w:p w14:paraId="5645FB91" w14:textId="77777777" w:rsidR="00BA4A8C" w:rsidRPr="00074C87" w:rsidRDefault="00BA4A8C" w:rsidP="00424E73">
      <w:pPr>
        <w:pStyle w:val="ListParagraph"/>
        <w:numPr>
          <w:ilvl w:val="0"/>
          <w:numId w:val="6"/>
        </w:numPr>
        <w:rPr>
          <w:rFonts w:ascii="Calibri" w:hAnsi="Calibri"/>
        </w:rPr>
      </w:pPr>
      <w:r w:rsidRPr="00074C87">
        <w:rPr>
          <w:rFonts w:ascii="Calibri" w:hAnsi="Calibri"/>
        </w:rPr>
        <w:t xml:space="preserve">ACT/SAT </w:t>
      </w:r>
      <w:r>
        <w:rPr>
          <w:rFonts w:ascii="Calibri" w:hAnsi="Calibri"/>
        </w:rPr>
        <w:t>f</w:t>
      </w:r>
      <w:r w:rsidRPr="00074C87">
        <w:rPr>
          <w:rFonts w:ascii="Calibri" w:hAnsi="Calibri"/>
        </w:rPr>
        <w:t xml:space="preserve">ee assistance </w:t>
      </w:r>
    </w:p>
    <w:p w14:paraId="55D0D353" w14:textId="77777777" w:rsidR="00BA4A8C" w:rsidRPr="00074C87" w:rsidRDefault="00BA4A8C" w:rsidP="00424E73">
      <w:pPr>
        <w:pStyle w:val="ListParagraph"/>
        <w:numPr>
          <w:ilvl w:val="0"/>
          <w:numId w:val="6"/>
        </w:numPr>
        <w:rPr>
          <w:rFonts w:ascii="Calibri" w:hAnsi="Calibri"/>
        </w:rPr>
      </w:pPr>
      <w:r w:rsidRPr="00074C87">
        <w:rPr>
          <w:rFonts w:ascii="Calibri" w:hAnsi="Calibri"/>
        </w:rPr>
        <w:t xml:space="preserve">FAFSA application assistance for special circumstances </w:t>
      </w:r>
    </w:p>
    <w:p w14:paraId="4747F556" w14:textId="77777777" w:rsidR="00BA4A8C" w:rsidRDefault="00BA4A8C" w:rsidP="00424E73">
      <w:pPr>
        <w:pStyle w:val="ListParagraph"/>
        <w:numPr>
          <w:ilvl w:val="0"/>
          <w:numId w:val="6"/>
        </w:numPr>
        <w:rPr>
          <w:rFonts w:ascii="Calibri" w:hAnsi="Calibri"/>
        </w:rPr>
      </w:pPr>
      <w:r w:rsidRPr="00074C87">
        <w:rPr>
          <w:rFonts w:ascii="Calibri" w:hAnsi="Calibri"/>
        </w:rPr>
        <w:t>Alaska Performance Scholarship requirements</w:t>
      </w:r>
    </w:p>
    <w:p w14:paraId="29B247F7" w14:textId="77777777" w:rsidR="00BA4A8C" w:rsidRPr="00F57628" w:rsidRDefault="00BA4A8C" w:rsidP="00F57628">
      <w:pPr>
        <w:rPr>
          <w:rFonts w:ascii="Calibri" w:hAnsi="Calibri"/>
        </w:rPr>
      </w:pPr>
      <w:r w:rsidRPr="00F57628">
        <w:rPr>
          <w:rFonts w:ascii="Calibri"/>
          <w:spacing w:val="-1"/>
        </w:rPr>
        <w:t>DEED requires districts to answer the following question in their annual ESEA Consolidated Grant application. DEED works with districts through the application review and monitoring processes to ensure that the districts have described the type of assistance that homeless children and youth will receive from counselors to ensure that it is at least equivalent to the assistance that is provided to all students in the school and includes such assistance as regular meetings with a counselor to plan for an appropriate high school course sequence, tools to learn about college and career pathways, and information about financial aid opportunities. Counselors should also work with them on addressing their social and emotional needs.</w:t>
      </w:r>
    </w:p>
    <w:p w14:paraId="377F8C53" w14:textId="77777777" w:rsidR="00BA4A8C" w:rsidRPr="00F57628" w:rsidRDefault="00BA4A8C" w:rsidP="00F57628">
      <w:pPr>
        <w:ind w:left="720"/>
        <w:rPr>
          <w:b/>
        </w:rPr>
      </w:pPr>
      <w:r w:rsidRPr="00F57628">
        <w:rPr>
          <w:b/>
        </w:rPr>
        <w:t xml:space="preserve">“D.7   Homeless Children &amp; Youth – Assistances for Counselors </w:t>
      </w:r>
    </w:p>
    <w:p w14:paraId="081B637D" w14:textId="77777777" w:rsidR="003E487A" w:rsidRDefault="00BA4A8C" w:rsidP="003E487A">
      <w:pPr>
        <w:ind w:left="720"/>
      </w:pPr>
      <w:r w:rsidRPr="00F57628">
        <w:t>Describe how homeless children and youth will receive assistance from counselors to advise such youths, and prepare and improve the readiness of such youths in c</w:t>
      </w:r>
      <w:r w:rsidR="003E487A">
        <w:t>ollege. [Section 722(g</w:t>
      </w:r>
      <w:proofErr w:type="gramStart"/>
      <w:r w:rsidR="003E487A">
        <w:t>)(</w:t>
      </w:r>
      <w:proofErr w:type="gramEnd"/>
      <w:r w:rsidR="003E487A">
        <w:t>2)(K)]”</w:t>
      </w:r>
      <w:bookmarkStart w:id="18" w:name="_Toc6231635"/>
    </w:p>
    <w:p w14:paraId="1112B7D3" w14:textId="77777777" w:rsidR="003E487A" w:rsidRDefault="003E487A">
      <w:pPr>
        <w:spacing w:after="160"/>
      </w:pPr>
      <w:r>
        <w:br w:type="page"/>
      </w:r>
    </w:p>
    <w:p w14:paraId="2E955926" w14:textId="1DC45C39" w:rsidR="00E672BC" w:rsidRPr="009E5E62" w:rsidRDefault="00E672BC" w:rsidP="005017F4">
      <w:pPr>
        <w:pStyle w:val="Heading1"/>
      </w:pPr>
      <w:r w:rsidRPr="00A400AE">
        <w:lastRenderedPageBreak/>
        <w:t>Appendix A: Measures of interim progress</w:t>
      </w:r>
      <w:bookmarkEnd w:id="18"/>
    </w:p>
    <w:p w14:paraId="64D7BB17" w14:textId="10505810" w:rsidR="009838D3" w:rsidRPr="009838D3" w:rsidRDefault="009838D3" w:rsidP="009838D3">
      <w:pPr>
        <w:spacing w:after="0" w:line="240" w:lineRule="auto"/>
        <w:rPr>
          <w:rFonts w:ascii="Times New Roman" w:eastAsia="Calibri" w:hAnsi="Times New Roman" w:cs="Times New Roman"/>
          <w:i/>
          <w:iCs/>
        </w:rPr>
      </w:pPr>
      <w:r w:rsidRPr="00A400AE">
        <w:rPr>
          <w:rFonts w:ascii="Times New Roman" w:eastAsia="Calibri" w:hAnsi="Times New Roman" w:cs="Times New Roman"/>
          <w:i/>
          <w:iCs/>
        </w:rPr>
        <w:t>Instructions: Each SEA must include the measurements of interim progress toward meeting the long-term goals for academic achievement, graduation rates, and English language proficiency, set forth in the State’s response to Title I, Part A question 4.iii, for all students and separately for each subgroup of students, including those listed in response to question 4.i.a. of this document. For academic achievement and graduation rates, the State’s measurements of interim progress must take into account the improvement necessary on such measures to make significant progress in closing statewide proficiency and graduation rate gaps.</w:t>
      </w:r>
    </w:p>
    <w:p w14:paraId="2057F484" w14:textId="77777777" w:rsidR="00BC64BB" w:rsidRDefault="00BC64BB" w:rsidP="009838D3">
      <w:pPr>
        <w:rPr>
          <w:b/>
        </w:rPr>
      </w:pPr>
    </w:p>
    <w:p w14:paraId="43315B44" w14:textId="77777777" w:rsidR="009838D3" w:rsidRDefault="009838D3" w:rsidP="005017F4">
      <w:pPr>
        <w:pStyle w:val="Heading2"/>
      </w:pPr>
      <w:r w:rsidRPr="00406670">
        <w:t>A. Academic Achievement</w:t>
      </w:r>
    </w:p>
    <w:tbl>
      <w:tblPr>
        <w:tblW w:w="5000" w:type="pct"/>
        <w:tblLook w:val="04A0" w:firstRow="1" w:lastRow="0" w:firstColumn="1" w:lastColumn="0" w:noHBand="0" w:noVBand="1"/>
      </w:tblPr>
      <w:tblGrid>
        <w:gridCol w:w="1967"/>
        <w:gridCol w:w="705"/>
        <w:gridCol w:w="585"/>
        <w:gridCol w:w="585"/>
        <w:gridCol w:w="585"/>
        <w:gridCol w:w="585"/>
        <w:gridCol w:w="585"/>
        <w:gridCol w:w="586"/>
        <w:gridCol w:w="586"/>
        <w:gridCol w:w="586"/>
        <w:gridCol w:w="593"/>
        <w:gridCol w:w="586"/>
        <w:gridCol w:w="816"/>
      </w:tblGrid>
      <w:tr w:rsidR="00EF7EE3" w:rsidRPr="004C1108" w14:paraId="5CABAB03" w14:textId="77777777" w:rsidTr="003556DD">
        <w:trPr>
          <w:trHeight w:val="600"/>
        </w:trPr>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E140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English Language Arts:</w:t>
            </w:r>
            <w:r w:rsidRPr="005E58F6">
              <w:rPr>
                <w:rFonts w:ascii="Calibri" w:eastAsia="Times New Roman" w:hAnsi="Calibri" w:cs="Times New Roman"/>
                <w:color w:val="000000"/>
                <w:sz w:val="14"/>
              </w:rPr>
              <w:br/>
              <w:t>Grades 3-9 FAY students only</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E38185" w14:textId="77777777" w:rsidR="00EF7EE3" w:rsidRPr="00E839CF" w:rsidRDefault="00EF7EE3" w:rsidP="003556DD">
            <w:pPr>
              <w:spacing w:after="0" w:line="240" w:lineRule="auto"/>
              <w:jc w:val="center"/>
              <w:rPr>
                <w:rFonts w:ascii="Calibri" w:eastAsia="Times New Roman" w:hAnsi="Calibri" w:cs="Times New Roman"/>
                <w:b/>
                <w:color w:val="000000"/>
                <w:sz w:val="14"/>
              </w:rPr>
            </w:pPr>
            <w:r w:rsidRPr="00E839CF">
              <w:rPr>
                <w:rFonts w:ascii="Calibri" w:eastAsia="Times New Roman" w:hAnsi="Calibri" w:cs="Times New Roman"/>
                <w:b/>
                <w:color w:val="000000"/>
                <w:sz w:val="14"/>
              </w:rPr>
              <w:t>Baseline</w:t>
            </w:r>
          </w:p>
        </w:tc>
        <w:tc>
          <w:tcPr>
            <w:tcW w:w="3154" w:type="pct"/>
            <w:gridSpan w:val="9"/>
            <w:tcBorders>
              <w:top w:val="single" w:sz="4" w:space="0" w:color="auto"/>
              <w:left w:val="nil"/>
              <w:bottom w:val="single" w:sz="4" w:space="0" w:color="auto"/>
              <w:right w:val="single" w:sz="4" w:space="0" w:color="auto"/>
            </w:tcBorders>
            <w:shd w:val="clear" w:color="auto" w:fill="auto"/>
            <w:vAlign w:val="center"/>
            <w:hideMark/>
          </w:tcPr>
          <w:p w14:paraId="78ECCD04" w14:textId="77777777" w:rsidR="00EF7EE3" w:rsidRPr="00E839CF" w:rsidRDefault="00EF7EE3" w:rsidP="003556DD">
            <w:pPr>
              <w:spacing w:after="0" w:line="240" w:lineRule="auto"/>
              <w:jc w:val="center"/>
              <w:rPr>
                <w:rFonts w:ascii="Calibri" w:eastAsia="Times New Roman" w:hAnsi="Calibri" w:cs="Times New Roman"/>
                <w:color w:val="000000"/>
                <w:sz w:val="14"/>
              </w:rPr>
            </w:pPr>
            <w:r w:rsidRPr="00E839CF">
              <w:rPr>
                <w:rFonts w:ascii="Calibri" w:eastAsia="Times New Roman" w:hAnsi="Calibri" w:cs="Times New Roman"/>
                <w:color w:val="000000"/>
                <w:sz w:val="14"/>
              </w:rPr>
              <w:t>Measures of Interim Progress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2F81FC7A" w14:textId="77777777" w:rsidR="00EF7EE3" w:rsidRPr="00E839CF" w:rsidRDefault="00EF7EE3" w:rsidP="003556DD">
            <w:pPr>
              <w:spacing w:after="0" w:line="240" w:lineRule="auto"/>
              <w:jc w:val="center"/>
              <w:rPr>
                <w:rFonts w:ascii="Calibri" w:eastAsia="Times New Roman" w:hAnsi="Calibri" w:cs="Times New Roman"/>
                <w:b/>
                <w:color w:val="000000"/>
                <w:sz w:val="14"/>
              </w:rPr>
            </w:pPr>
            <w:r w:rsidRPr="00E839CF">
              <w:rPr>
                <w:rFonts w:ascii="Calibri" w:eastAsia="Times New Roman" w:hAnsi="Calibri" w:cs="Times New Roman"/>
                <w:b/>
                <w:color w:val="000000"/>
                <w:sz w:val="14"/>
              </w:rPr>
              <w:t>Long-Term Goal</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FAF0F" w14:textId="77777777" w:rsidR="00EF7EE3" w:rsidRPr="00E839CF" w:rsidRDefault="00EF7EE3" w:rsidP="003556DD">
            <w:pPr>
              <w:spacing w:after="0" w:line="240" w:lineRule="auto"/>
              <w:jc w:val="center"/>
              <w:rPr>
                <w:rFonts w:ascii="Calibri" w:eastAsia="Times New Roman" w:hAnsi="Calibri" w:cs="Times New Roman"/>
                <w:b/>
                <w:color w:val="FF0000"/>
                <w:sz w:val="14"/>
              </w:rPr>
            </w:pPr>
            <w:r w:rsidRPr="00E839CF">
              <w:rPr>
                <w:rFonts w:ascii="Calibri" w:eastAsia="Times New Roman" w:hAnsi="Calibri" w:cs="Times New Roman"/>
                <w:b/>
                <w:color w:val="FF0000"/>
                <w:sz w:val="14"/>
              </w:rPr>
              <w:t>Annual Increment Needed</w:t>
            </w:r>
          </w:p>
        </w:tc>
      </w:tr>
      <w:tr w:rsidR="00EF7EE3" w:rsidRPr="004C1108" w14:paraId="43362688"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40CC86C1" w14:textId="77777777" w:rsidR="00EF7EE3" w:rsidRPr="005E58F6" w:rsidRDefault="00EF7EE3" w:rsidP="003556DD">
            <w:pPr>
              <w:spacing w:after="0" w:line="240" w:lineRule="auto"/>
              <w:rPr>
                <w:rFonts w:ascii="Calibri" w:eastAsia="Times New Roman" w:hAnsi="Calibri" w:cs="Times New Roman"/>
                <w:color w:val="000000"/>
                <w:sz w:val="14"/>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15A6CD7" w14:textId="77777777" w:rsidR="00EF7EE3" w:rsidRPr="005E58F6" w:rsidRDefault="00EF7EE3" w:rsidP="003556DD">
            <w:pPr>
              <w:spacing w:after="0" w:line="240" w:lineRule="auto"/>
              <w:rPr>
                <w:rFonts w:ascii="Calibri" w:eastAsia="Times New Roman" w:hAnsi="Calibri" w:cs="Times New Roman"/>
                <w:b/>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050E159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1</w:t>
            </w:r>
          </w:p>
        </w:tc>
        <w:tc>
          <w:tcPr>
            <w:tcW w:w="350" w:type="pct"/>
            <w:tcBorders>
              <w:top w:val="nil"/>
              <w:left w:val="nil"/>
              <w:bottom w:val="single" w:sz="4" w:space="0" w:color="auto"/>
              <w:right w:val="single" w:sz="4" w:space="0" w:color="auto"/>
            </w:tcBorders>
            <w:shd w:val="clear" w:color="auto" w:fill="auto"/>
            <w:vAlign w:val="center"/>
            <w:hideMark/>
          </w:tcPr>
          <w:p w14:paraId="085F6FD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2</w:t>
            </w:r>
          </w:p>
        </w:tc>
        <w:tc>
          <w:tcPr>
            <w:tcW w:w="350" w:type="pct"/>
            <w:tcBorders>
              <w:top w:val="nil"/>
              <w:left w:val="nil"/>
              <w:bottom w:val="single" w:sz="4" w:space="0" w:color="auto"/>
              <w:right w:val="single" w:sz="4" w:space="0" w:color="auto"/>
            </w:tcBorders>
            <w:shd w:val="clear" w:color="auto" w:fill="auto"/>
            <w:vAlign w:val="center"/>
            <w:hideMark/>
          </w:tcPr>
          <w:p w14:paraId="5052679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3</w:t>
            </w:r>
          </w:p>
        </w:tc>
        <w:tc>
          <w:tcPr>
            <w:tcW w:w="350" w:type="pct"/>
            <w:tcBorders>
              <w:top w:val="nil"/>
              <w:left w:val="nil"/>
              <w:bottom w:val="single" w:sz="4" w:space="0" w:color="auto"/>
              <w:right w:val="single" w:sz="4" w:space="0" w:color="auto"/>
            </w:tcBorders>
            <w:shd w:val="clear" w:color="auto" w:fill="auto"/>
            <w:vAlign w:val="center"/>
            <w:hideMark/>
          </w:tcPr>
          <w:p w14:paraId="045D470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4</w:t>
            </w:r>
          </w:p>
        </w:tc>
        <w:tc>
          <w:tcPr>
            <w:tcW w:w="350" w:type="pct"/>
            <w:tcBorders>
              <w:top w:val="nil"/>
              <w:left w:val="nil"/>
              <w:bottom w:val="single" w:sz="4" w:space="0" w:color="auto"/>
              <w:right w:val="single" w:sz="4" w:space="0" w:color="auto"/>
            </w:tcBorders>
            <w:shd w:val="clear" w:color="auto" w:fill="auto"/>
            <w:vAlign w:val="center"/>
            <w:hideMark/>
          </w:tcPr>
          <w:p w14:paraId="0979EF6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5</w:t>
            </w:r>
          </w:p>
        </w:tc>
        <w:tc>
          <w:tcPr>
            <w:tcW w:w="350" w:type="pct"/>
            <w:tcBorders>
              <w:top w:val="nil"/>
              <w:left w:val="nil"/>
              <w:bottom w:val="single" w:sz="4" w:space="0" w:color="auto"/>
              <w:right w:val="single" w:sz="4" w:space="0" w:color="auto"/>
            </w:tcBorders>
            <w:shd w:val="clear" w:color="auto" w:fill="auto"/>
            <w:vAlign w:val="center"/>
            <w:hideMark/>
          </w:tcPr>
          <w:p w14:paraId="25E1BD1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6</w:t>
            </w:r>
          </w:p>
        </w:tc>
        <w:tc>
          <w:tcPr>
            <w:tcW w:w="350" w:type="pct"/>
            <w:tcBorders>
              <w:top w:val="nil"/>
              <w:left w:val="nil"/>
              <w:bottom w:val="single" w:sz="4" w:space="0" w:color="auto"/>
              <w:right w:val="single" w:sz="4" w:space="0" w:color="auto"/>
            </w:tcBorders>
            <w:shd w:val="clear" w:color="auto" w:fill="auto"/>
            <w:vAlign w:val="center"/>
            <w:hideMark/>
          </w:tcPr>
          <w:p w14:paraId="602045E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7</w:t>
            </w:r>
          </w:p>
        </w:tc>
        <w:tc>
          <w:tcPr>
            <w:tcW w:w="350" w:type="pct"/>
            <w:tcBorders>
              <w:top w:val="nil"/>
              <w:left w:val="nil"/>
              <w:bottom w:val="single" w:sz="4" w:space="0" w:color="auto"/>
              <w:right w:val="single" w:sz="4" w:space="0" w:color="auto"/>
            </w:tcBorders>
            <w:shd w:val="clear" w:color="auto" w:fill="auto"/>
            <w:vAlign w:val="center"/>
            <w:hideMark/>
          </w:tcPr>
          <w:p w14:paraId="5126258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8</w:t>
            </w:r>
          </w:p>
        </w:tc>
        <w:tc>
          <w:tcPr>
            <w:tcW w:w="350" w:type="pct"/>
            <w:tcBorders>
              <w:top w:val="nil"/>
              <w:left w:val="nil"/>
              <w:bottom w:val="single" w:sz="4" w:space="0" w:color="auto"/>
              <w:right w:val="single" w:sz="4" w:space="0" w:color="auto"/>
            </w:tcBorders>
            <w:shd w:val="clear" w:color="auto" w:fill="auto"/>
            <w:vAlign w:val="center"/>
            <w:hideMark/>
          </w:tcPr>
          <w:p w14:paraId="3F7B776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9</w:t>
            </w:r>
          </w:p>
        </w:tc>
        <w:tc>
          <w:tcPr>
            <w:tcW w:w="350" w:type="pct"/>
            <w:tcBorders>
              <w:top w:val="nil"/>
              <w:left w:val="nil"/>
              <w:bottom w:val="single" w:sz="4" w:space="0" w:color="auto"/>
              <w:right w:val="single" w:sz="4" w:space="0" w:color="auto"/>
            </w:tcBorders>
            <w:shd w:val="clear" w:color="auto" w:fill="auto"/>
            <w:vAlign w:val="center"/>
            <w:hideMark/>
          </w:tcPr>
          <w:p w14:paraId="7E9F7FF4"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Year 10</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7FCAAED" w14:textId="77777777" w:rsidR="00EF7EE3" w:rsidRPr="005E58F6" w:rsidRDefault="00EF7EE3" w:rsidP="003556DD">
            <w:pPr>
              <w:spacing w:after="0" w:line="240" w:lineRule="auto"/>
              <w:rPr>
                <w:rFonts w:ascii="Calibri" w:eastAsia="Times New Roman" w:hAnsi="Calibri" w:cs="Times New Roman"/>
                <w:b/>
                <w:color w:val="FF0000"/>
                <w:sz w:val="14"/>
              </w:rPr>
            </w:pPr>
          </w:p>
        </w:tc>
      </w:tr>
      <w:tr w:rsidR="00EF7EE3" w:rsidRPr="004C1108" w14:paraId="218C1F89"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0F71007B" w14:textId="77777777" w:rsidR="00EF7EE3" w:rsidRPr="005E58F6" w:rsidRDefault="00EF7EE3" w:rsidP="003556DD">
            <w:pPr>
              <w:spacing w:after="0" w:line="240" w:lineRule="auto"/>
              <w:rPr>
                <w:rFonts w:ascii="Calibri" w:eastAsia="Times New Roman" w:hAnsi="Calibri" w:cs="Times New Roman"/>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7D2C36B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2016-2017</w:t>
            </w:r>
          </w:p>
        </w:tc>
        <w:tc>
          <w:tcPr>
            <w:tcW w:w="350" w:type="pct"/>
            <w:tcBorders>
              <w:top w:val="nil"/>
              <w:left w:val="nil"/>
              <w:bottom w:val="single" w:sz="4" w:space="0" w:color="auto"/>
              <w:right w:val="single" w:sz="4" w:space="0" w:color="auto"/>
            </w:tcBorders>
            <w:shd w:val="clear" w:color="auto" w:fill="auto"/>
            <w:vAlign w:val="center"/>
            <w:hideMark/>
          </w:tcPr>
          <w:p w14:paraId="243AED2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2017-2018</w:t>
            </w:r>
          </w:p>
        </w:tc>
        <w:tc>
          <w:tcPr>
            <w:tcW w:w="350" w:type="pct"/>
            <w:tcBorders>
              <w:top w:val="nil"/>
              <w:left w:val="nil"/>
              <w:bottom w:val="single" w:sz="4" w:space="0" w:color="auto"/>
              <w:right w:val="single" w:sz="4" w:space="0" w:color="auto"/>
            </w:tcBorders>
            <w:shd w:val="clear" w:color="auto" w:fill="auto"/>
            <w:vAlign w:val="center"/>
            <w:hideMark/>
          </w:tcPr>
          <w:p w14:paraId="03A7FA1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2018-2019</w:t>
            </w:r>
          </w:p>
        </w:tc>
        <w:tc>
          <w:tcPr>
            <w:tcW w:w="350" w:type="pct"/>
            <w:tcBorders>
              <w:top w:val="nil"/>
              <w:left w:val="nil"/>
              <w:bottom w:val="single" w:sz="4" w:space="0" w:color="auto"/>
              <w:right w:val="single" w:sz="4" w:space="0" w:color="auto"/>
            </w:tcBorders>
            <w:shd w:val="clear" w:color="auto" w:fill="auto"/>
            <w:vAlign w:val="center"/>
            <w:hideMark/>
          </w:tcPr>
          <w:p w14:paraId="5E32C5F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2019-2020</w:t>
            </w:r>
          </w:p>
        </w:tc>
        <w:tc>
          <w:tcPr>
            <w:tcW w:w="350" w:type="pct"/>
            <w:tcBorders>
              <w:top w:val="nil"/>
              <w:left w:val="nil"/>
              <w:bottom w:val="single" w:sz="4" w:space="0" w:color="auto"/>
              <w:right w:val="single" w:sz="4" w:space="0" w:color="auto"/>
            </w:tcBorders>
            <w:shd w:val="clear" w:color="auto" w:fill="auto"/>
            <w:vAlign w:val="center"/>
            <w:hideMark/>
          </w:tcPr>
          <w:p w14:paraId="5CE1344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2020-2021</w:t>
            </w:r>
          </w:p>
        </w:tc>
        <w:tc>
          <w:tcPr>
            <w:tcW w:w="350" w:type="pct"/>
            <w:tcBorders>
              <w:top w:val="nil"/>
              <w:left w:val="nil"/>
              <w:bottom w:val="single" w:sz="4" w:space="0" w:color="auto"/>
              <w:right w:val="single" w:sz="4" w:space="0" w:color="auto"/>
            </w:tcBorders>
            <w:shd w:val="clear" w:color="auto" w:fill="auto"/>
            <w:vAlign w:val="center"/>
            <w:hideMark/>
          </w:tcPr>
          <w:p w14:paraId="469F4D5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2021-2022</w:t>
            </w:r>
          </w:p>
        </w:tc>
        <w:tc>
          <w:tcPr>
            <w:tcW w:w="350" w:type="pct"/>
            <w:tcBorders>
              <w:top w:val="nil"/>
              <w:left w:val="nil"/>
              <w:bottom w:val="single" w:sz="4" w:space="0" w:color="auto"/>
              <w:right w:val="single" w:sz="4" w:space="0" w:color="auto"/>
            </w:tcBorders>
            <w:shd w:val="clear" w:color="auto" w:fill="auto"/>
            <w:vAlign w:val="center"/>
            <w:hideMark/>
          </w:tcPr>
          <w:p w14:paraId="6866589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2022-2023</w:t>
            </w:r>
          </w:p>
        </w:tc>
        <w:tc>
          <w:tcPr>
            <w:tcW w:w="350" w:type="pct"/>
            <w:tcBorders>
              <w:top w:val="nil"/>
              <w:left w:val="nil"/>
              <w:bottom w:val="single" w:sz="4" w:space="0" w:color="auto"/>
              <w:right w:val="single" w:sz="4" w:space="0" w:color="auto"/>
            </w:tcBorders>
            <w:shd w:val="clear" w:color="auto" w:fill="auto"/>
            <w:vAlign w:val="center"/>
            <w:hideMark/>
          </w:tcPr>
          <w:p w14:paraId="3960B6B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2023-2024</w:t>
            </w:r>
          </w:p>
        </w:tc>
        <w:tc>
          <w:tcPr>
            <w:tcW w:w="350" w:type="pct"/>
            <w:tcBorders>
              <w:top w:val="nil"/>
              <w:left w:val="nil"/>
              <w:bottom w:val="single" w:sz="4" w:space="0" w:color="auto"/>
              <w:right w:val="single" w:sz="4" w:space="0" w:color="auto"/>
            </w:tcBorders>
            <w:shd w:val="clear" w:color="auto" w:fill="auto"/>
            <w:vAlign w:val="center"/>
            <w:hideMark/>
          </w:tcPr>
          <w:p w14:paraId="4E4DCCD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2024-2025</w:t>
            </w:r>
          </w:p>
        </w:tc>
        <w:tc>
          <w:tcPr>
            <w:tcW w:w="350" w:type="pct"/>
            <w:tcBorders>
              <w:top w:val="nil"/>
              <w:left w:val="nil"/>
              <w:bottom w:val="single" w:sz="4" w:space="0" w:color="auto"/>
              <w:right w:val="single" w:sz="4" w:space="0" w:color="auto"/>
            </w:tcBorders>
            <w:shd w:val="clear" w:color="auto" w:fill="auto"/>
            <w:vAlign w:val="center"/>
            <w:hideMark/>
          </w:tcPr>
          <w:p w14:paraId="19B734F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2025-2026</w:t>
            </w:r>
          </w:p>
        </w:tc>
        <w:tc>
          <w:tcPr>
            <w:tcW w:w="350" w:type="pct"/>
            <w:tcBorders>
              <w:top w:val="nil"/>
              <w:left w:val="nil"/>
              <w:bottom w:val="single" w:sz="4" w:space="0" w:color="auto"/>
              <w:right w:val="single" w:sz="4" w:space="0" w:color="auto"/>
            </w:tcBorders>
            <w:shd w:val="clear" w:color="auto" w:fill="auto"/>
            <w:vAlign w:val="center"/>
            <w:hideMark/>
          </w:tcPr>
          <w:p w14:paraId="24777C56"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2026-2027</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6E9C736" w14:textId="77777777" w:rsidR="00EF7EE3" w:rsidRPr="005E58F6" w:rsidRDefault="00EF7EE3" w:rsidP="003556DD">
            <w:pPr>
              <w:spacing w:after="0" w:line="240" w:lineRule="auto"/>
              <w:rPr>
                <w:rFonts w:ascii="Calibri" w:eastAsia="Times New Roman" w:hAnsi="Calibri" w:cs="Times New Roman"/>
                <w:b/>
                <w:color w:val="FF0000"/>
                <w:sz w:val="14"/>
              </w:rPr>
            </w:pPr>
          </w:p>
        </w:tc>
      </w:tr>
      <w:tr w:rsidR="00EF7EE3" w:rsidRPr="004C1108" w14:paraId="25E9CB60"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17A2981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All students</w:t>
            </w:r>
          </w:p>
        </w:tc>
        <w:tc>
          <w:tcPr>
            <w:tcW w:w="350" w:type="pct"/>
            <w:tcBorders>
              <w:top w:val="nil"/>
              <w:left w:val="nil"/>
              <w:bottom w:val="single" w:sz="4" w:space="0" w:color="auto"/>
              <w:right w:val="single" w:sz="4" w:space="0" w:color="auto"/>
            </w:tcBorders>
            <w:shd w:val="clear" w:color="auto" w:fill="auto"/>
            <w:noWrap/>
            <w:vAlign w:val="center"/>
            <w:hideMark/>
          </w:tcPr>
          <w:p w14:paraId="53B1BBF1"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39.4%</w:t>
            </w:r>
          </w:p>
        </w:tc>
        <w:tc>
          <w:tcPr>
            <w:tcW w:w="350" w:type="pct"/>
            <w:tcBorders>
              <w:top w:val="nil"/>
              <w:left w:val="nil"/>
              <w:bottom w:val="single" w:sz="4" w:space="0" w:color="auto"/>
              <w:right w:val="single" w:sz="4" w:space="0" w:color="auto"/>
            </w:tcBorders>
            <w:shd w:val="clear" w:color="auto" w:fill="auto"/>
            <w:noWrap/>
            <w:vAlign w:val="center"/>
            <w:hideMark/>
          </w:tcPr>
          <w:p w14:paraId="6483E39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42.4%</w:t>
            </w:r>
          </w:p>
        </w:tc>
        <w:tc>
          <w:tcPr>
            <w:tcW w:w="350" w:type="pct"/>
            <w:tcBorders>
              <w:top w:val="nil"/>
              <w:left w:val="nil"/>
              <w:bottom w:val="single" w:sz="4" w:space="0" w:color="auto"/>
              <w:right w:val="single" w:sz="4" w:space="0" w:color="auto"/>
            </w:tcBorders>
            <w:shd w:val="clear" w:color="auto" w:fill="auto"/>
            <w:noWrap/>
            <w:vAlign w:val="center"/>
            <w:hideMark/>
          </w:tcPr>
          <w:p w14:paraId="32C000C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45.5%</w:t>
            </w:r>
          </w:p>
        </w:tc>
        <w:tc>
          <w:tcPr>
            <w:tcW w:w="350" w:type="pct"/>
            <w:tcBorders>
              <w:top w:val="nil"/>
              <w:left w:val="nil"/>
              <w:bottom w:val="single" w:sz="4" w:space="0" w:color="auto"/>
              <w:right w:val="single" w:sz="4" w:space="0" w:color="auto"/>
            </w:tcBorders>
            <w:shd w:val="clear" w:color="auto" w:fill="auto"/>
            <w:noWrap/>
            <w:vAlign w:val="center"/>
            <w:hideMark/>
          </w:tcPr>
          <w:p w14:paraId="0AEAF77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48.5%</w:t>
            </w:r>
          </w:p>
        </w:tc>
        <w:tc>
          <w:tcPr>
            <w:tcW w:w="350" w:type="pct"/>
            <w:tcBorders>
              <w:top w:val="nil"/>
              <w:left w:val="nil"/>
              <w:bottom w:val="single" w:sz="4" w:space="0" w:color="auto"/>
              <w:right w:val="single" w:sz="4" w:space="0" w:color="auto"/>
            </w:tcBorders>
            <w:shd w:val="clear" w:color="auto" w:fill="auto"/>
            <w:noWrap/>
            <w:vAlign w:val="center"/>
            <w:hideMark/>
          </w:tcPr>
          <w:p w14:paraId="7323440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51.5%</w:t>
            </w:r>
          </w:p>
        </w:tc>
        <w:tc>
          <w:tcPr>
            <w:tcW w:w="350" w:type="pct"/>
            <w:tcBorders>
              <w:top w:val="nil"/>
              <w:left w:val="nil"/>
              <w:bottom w:val="single" w:sz="4" w:space="0" w:color="auto"/>
              <w:right w:val="single" w:sz="4" w:space="0" w:color="auto"/>
            </w:tcBorders>
            <w:shd w:val="clear" w:color="auto" w:fill="auto"/>
            <w:noWrap/>
            <w:vAlign w:val="center"/>
            <w:hideMark/>
          </w:tcPr>
          <w:p w14:paraId="2AF681B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54.6%</w:t>
            </w:r>
          </w:p>
        </w:tc>
        <w:tc>
          <w:tcPr>
            <w:tcW w:w="350" w:type="pct"/>
            <w:tcBorders>
              <w:top w:val="nil"/>
              <w:left w:val="nil"/>
              <w:bottom w:val="single" w:sz="4" w:space="0" w:color="auto"/>
              <w:right w:val="single" w:sz="4" w:space="0" w:color="auto"/>
            </w:tcBorders>
            <w:shd w:val="clear" w:color="auto" w:fill="auto"/>
            <w:noWrap/>
            <w:vAlign w:val="center"/>
            <w:hideMark/>
          </w:tcPr>
          <w:p w14:paraId="4DDA043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57.6%</w:t>
            </w:r>
          </w:p>
        </w:tc>
        <w:tc>
          <w:tcPr>
            <w:tcW w:w="350" w:type="pct"/>
            <w:tcBorders>
              <w:top w:val="nil"/>
              <w:left w:val="nil"/>
              <w:bottom w:val="single" w:sz="4" w:space="0" w:color="auto"/>
              <w:right w:val="single" w:sz="4" w:space="0" w:color="auto"/>
            </w:tcBorders>
            <w:shd w:val="clear" w:color="auto" w:fill="auto"/>
            <w:noWrap/>
            <w:vAlign w:val="center"/>
            <w:hideMark/>
          </w:tcPr>
          <w:p w14:paraId="3FDFC20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60.6%</w:t>
            </w:r>
          </w:p>
        </w:tc>
        <w:tc>
          <w:tcPr>
            <w:tcW w:w="350" w:type="pct"/>
            <w:tcBorders>
              <w:top w:val="nil"/>
              <w:left w:val="nil"/>
              <w:bottom w:val="single" w:sz="4" w:space="0" w:color="auto"/>
              <w:right w:val="single" w:sz="4" w:space="0" w:color="auto"/>
            </w:tcBorders>
            <w:shd w:val="clear" w:color="auto" w:fill="auto"/>
            <w:noWrap/>
            <w:vAlign w:val="center"/>
            <w:hideMark/>
          </w:tcPr>
          <w:p w14:paraId="0623C53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63.6%</w:t>
            </w:r>
          </w:p>
        </w:tc>
        <w:tc>
          <w:tcPr>
            <w:tcW w:w="350" w:type="pct"/>
            <w:tcBorders>
              <w:top w:val="nil"/>
              <w:left w:val="nil"/>
              <w:bottom w:val="single" w:sz="4" w:space="0" w:color="auto"/>
              <w:right w:val="single" w:sz="4" w:space="0" w:color="auto"/>
            </w:tcBorders>
            <w:shd w:val="clear" w:color="auto" w:fill="auto"/>
            <w:noWrap/>
            <w:vAlign w:val="center"/>
            <w:hideMark/>
          </w:tcPr>
          <w:p w14:paraId="2552733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66.7%</w:t>
            </w:r>
          </w:p>
        </w:tc>
        <w:tc>
          <w:tcPr>
            <w:tcW w:w="350" w:type="pct"/>
            <w:tcBorders>
              <w:top w:val="nil"/>
              <w:left w:val="nil"/>
              <w:bottom w:val="single" w:sz="4" w:space="0" w:color="auto"/>
              <w:right w:val="single" w:sz="4" w:space="0" w:color="auto"/>
            </w:tcBorders>
            <w:shd w:val="clear" w:color="auto" w:fill="auto"/>
            <w:noWrap/>
            <w:vAlign w:val="center"/>
            <w:hideMark/>
          </w:tcPr>
          <w:p w14:paraId="671A54A6"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69.7%</w:t>
            </w:r>
          </w:p>
        </w:tc>
        <w:tc>
          <w:tcPr>
            <w:tcW w:w="350" w:type="pct"/>
            <w:tcBorders>
              <w:top w:val="nil"/>
              <w:left w:val="nil"/>
              <w:bottom w:val="single" w:sz="4" w:space="0" w:color="auto"/>
              <w:right w:val="single" w:sz="4" w:space="0" w:color="auto"/>
            </w:tcBorders>
            <w:shd w:val="clear" w:color="auto" w:fill="auto"/>
            <w:noWrap/>
            <w:vAlign w:val="center"/>
            <w:hideMark/>
          </w:tcPr>
          <w:p w14:paraId="782E5E6F"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3.0%</w:t>
            </w:r>
          </w:p>
        </w:tc>
      </w:tr>
      <w:tr w:rsidR="00EF7EE3" w:rsidRPr="004C1108" w14:paraId="4233FE9A"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152BEFE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African American</w:t>
            </w:r>
          </w:p>
        </w:tc>
        <w:tc>
          <w:tcPr>
            <w:tcW w:w="350" w:type="pct"/>
            <w:tcBorders>
              <w:top w:val="nil"/>
              <w:left w:val="nil"/>
              <w:bottom w:val="single" w:sz="4" w:space="0" w:color="auto"/>
              <w:right w:val="single" w:sz="4" w:space="0" w:color="auto"/>
            </w:tcBorders>
            <w:shd w:val="clear" w:color="auto" w:fill="auto"/>
            <w:noWrap/>
            <w:vAlign w:val="center"/>
            <w:hideMark/>
          </w:tcPr>
          <w:p w14:paraId="519E4196"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26.7%</w:t>
            </w:r>
          </w:p>
        </w:tc>
        <w:tc>
          <w:tcPr>
            <w:tcW w:w="350" w:type="pct"/>
            <w:tcBorders>
              <w:top w:val="nil"/>
              <w:left w:val="nil"/>
              <w:bottom w:val="single" w:sz="4" w:space="0" w:color="auto"/>
              <w:right w:val="single" w:sz="4" w:space="0" w:color="auto"/>
            </w:tcBorders>
            <w:shd w:val="clear" w:color="auto" w:fill="auto"/>
            <w:noWrap/>
            <w:vAlign w:val="center"/>
            <w:hideMark/>
          </w:tcPr>
          <w:p w14:paraId="3F46EFD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30.3%</w:t>
            </w:r>
          </w:p>
        </w:tc>
        <w:tc>
          <w:tcPr>
            <w:tcW w:w="350" w:type="pct"/>
            <w:tcBorders>
              <w:top w:val="nil"/>
              <w:left w:val="nil"/>
              <w:bottom w:val="single" w:sz="4" w:space="0" w:color="auto"/>
              <w:right w:val="single" w:sz="4" w:space="0" w:color="auto"/>
            </w:tcBorders>
            <w:shd w:val="clear" w:color="auto" w:fill="auto"/>
            <w:noWrap/>
            <w:vAlign w:val="center"/>
            <w:hideMark/>
          </w:tcPr>
          <w:p w14:paraId="1F6B9E2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34.0%</w:t>
            </w:r>
          </w:p>
        </w:tc>
        <w:tc>
          <w:tcPr>
            <w:tcW w:w="350" w:type="pct"/>
            <w:tcBorders>
              <w:top w:val="nil"/>
              <w:left w:val="nil"/>
              <w:bottom w:val="single" w:sz="4" w:space="0" w:color="auto"/>
              <w:right w:val="single" w:sz="4" w:space="0" w:color="auto"/>
            </w:tcBorders>
            <w:shd w:val="clear" w:color="auto" w:fill="auto"/>
            <w:noWrap/>
            <w:vAlign w:val="center"/>
            <w:hideMark/>
          </w:tcPr>
          <w:p w14:paraId="7E9E83C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37.7%</w:t>
            </w:r>
          </w:p>
        </w:tc>
        <w:tc>
          <w:tcPr>
            <w:tcW w:w="350" w:type="pct"/>
            <w:tcBorders>
              <w:top w:val="nil"/>
              <w:left w:val="nil"/>
              <w:bottom w:val="single" w:sz="4" w:space="0" w:color="auto"/>
              <w:right w:val="single" w:sz="4" w:space="0" w:color="auto"/>
            </w:tcBorders>
            <w:shd w:val="clear" w:color="auto" w:fill="auto"/>
            <w:noWrap/>
            <w:vAlign w:val="center"/>
            <w:hideMark/>
          </w:tcPr>
          <w:p w14:paraId="2233163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41.3%</w:t>
            </w:r>
          </w:p>
        </w:tc>
        <w:tc>
          <w:tcPr>
            <w:tcW w:w="350" w:type="pct"/>
            <w:tcBorders>
              <w:top w:val="nil"/>
              <w:left w:val="nil"/>
              <w:bottom w:val="single" w:sz="4" w:space="0" w:color="auto"/>
              <w:right w:val="single" w:sz="4" w:space="0" w:color="auto"/>
            </w:tcBorders>
            <w:shd w:val="clear" w:color="auto" w:fill="auto"/>
            <w:noWrap/>
            <w:vAlign w:val="center"/>
            <w:hideMark/>
          </w:tcPr>
          <w:p w14:paraId="1CE7B4B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45.0%</w:t>
            </w:r>
          </w:p>
        </w:tc>
        <w:tc>
          <w:tcPr>
            <w:tcW w:w="350" w:type="pct"/>
            <w:tcBorders>
              <w:top w:val="nil"/>
              <w:left w:val="nil"/>
              <w:bottom w:val="single" w:sz="4" w:space="0" w:color="auto"/>
              <w:right w:val="single" w:sz="4" w:space="0" w:color="auto"/>
            </w:tcBorders>
            <w:shd w:val="clear" w:color="auto" w:fill="auto"/>
            <w:noWrap/>
            <w:vAlign w:val="center"/>
            <w:hideMark/>
          </w:tcPr>
          <w:p w14:paraId="000C929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48.7%</w:t>
            </w:r>
          </w:p>
        </w:tc>
        <w:tc>
          <w:tcPr>
            <w:tcW w:w="350" w:type="pct"/>
            <w:tcBorders>
              <w:top w:val="nil"/>
              <w:left w:val="nil"/>
              <w:bottom w:val="single" w:sz="4" w:space="0" w:color="auto"/>
              <w:right w:val="single" w:sz="4" w:space="0" w:color="auto"/>
            </w:tcBorders>
            <w:shd w:val="clear" w:color="auto" w:fill="auto"/>
            <w:noWrap/>
            <w:vAlign w:val="center"/>
            <w:hideMark/>
          </w:tcPr>
          <w:p w14:paraId="7D5FA67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52.3%</w:t>
            </w:r>
          </w:p>
        </w:tc>
        <w:tc>
          <w:tcPr>
            <w:tcW w:w="350" w:type="pct"/>
            <w:tcBorders>
              <w:top w:val="nil"/>
              <w:left w:val="nil"/>
              <w:bottom w:val="single" w:sz="4" w:space="0" w:color="auto"/>
              <w:right w:val="single" w:sz="4" w:space="0" w:color="auto"/>
            </w:tcBorders>
            <w:shd w:val="clear" w:color="auto" w:fill="auto"/>
            <w:noWrap/>
            <w:vAlign w:val="center"/>
            <w:hideMark/>
          </w:tcPr>
          <w:p w14:paraId="5981B1E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56.0%</w:t>
            </w:r>
          </w:p>
        </w:tc>
        <w:tc>
          <w:tcPr>
            <w:tcW w:w="350" w:type="pct"/>
            <w:tcBorders>
              <w:top w:val="nil"/>
              <w:left w:val="nil"/>
              <w:bottom w:val="single" w:sz="4" w:space="0" w:color="auto"/>
              <w:right w:val="single" w:sz="4" w:space="0" w:color="auto"/>
            </w:tcBorders>
            <w:shd w:val="clear" w:color="auto" w:fill="auto"/>
            <w:noWrap/>
            <w:vAlign w:val="center"/>
            <w:hideMark/>
          </w:tcPr>
          <w:p w14:paraId="5F935CB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59.7%</w:t>
            </w:r>
          </w:p>
        </w:tc>
        <w:tc>
          <w:tcPr>
            <w:tcW w:w="350" w:type="pct"/>
            <w:tcBorders>
              <w:top w:val="nil"/>
              <w:left w:val="nil"/>
              <w:bottom w:val="single" w:sz="4" w:space="0" w:color="auto"/>
              <w:right w:val="single" w:sz="4" w:space="0" w:color="auto"/>
            </w:tcBorders>
            <w:shd w:val="clear" w:color="auto" w:fill="auto"/>
            <w:noWrap/>
            <w:vAlign w:val="center"/>
            <w:hideMark/>
          </w:tcPr>
          <w:p w14:paraId="335891E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63.3%</w:t>
            </w:r>
          </w:p>
        </w:tc>
        <w:tc>
          <w:tcPr>
            <w:tcW w:w="350" w:type="pct"/>
            <w:tcBorders>
              <w:top w:val="nil"/>
              <w:left w:val="nil"/>
              <w:bottom w:val="single" w:sz="4" w:space="0" w:color="auto"/>
              <w:right w:val="single" w:sz="4" w:space="0" w:color="auto"/>
            </w:tcBorders>
            <w:shd w:val="clear" w:color="auto" w:fill="auto"/>
            <w:noWrap/>
            <w:vAlign w:val="center"/>
            <w:hideMark/>
          </w:tcPr>
          <w:p w14:paraId="67E11D75"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3.7%</w:t>
            </w:r>
          </w:p>
        </w:tc>
      </w:tr>
      <w:tr w:rsidR="00EF7EE3" w:rsidRPr="004C1108" w14:paraId="1790D820"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5FBB1F6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Alaska Native/American Indian</w:t>
            </w:r>
          </w:p>
        </w:tc>
        <w:tc>
          <w:tcPr>
            <w:tcW w:w="350" w:type="pct"/>
            <w:tcBorders>
              <w:top w:val="nil"/>
              <w:left w:val="nil"/>
              <w:bottom w:val="single" w:sz="4" w:space="0" w:color="auto"/>
              <w:right w:val="single" w:sz="4" w:space="0" w:color="auto"/>
            </w:tcBorders>
            <w:shd w:val="clear" w:color="auto" w:fill="auto"/>
            <w:noWrap/>
            <w:vAlign w:val="center"/>
            <w:hideMark/>
          </w:tcPr>
          <w:p w14:paraId="28B09ADF"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16.4%</w:t>
            </w:r>
          </w:p>
        </w:tc>
        <w:tc>
          <w:tcPr>
            <w:tcW w:w="350" w:type="pct"/>
            <w:tcBorders>
              <w:top w:val="nil"/>
              <w:left w:val="nil"/>
              <w:bottom w:val="single" w:sz="4" w:space="0" w:color="auto"/>
              <w:right w:val="single" w:sz="4" w:space="0" w:color="auto"/>
            </w:tcBorders>
            <w:shd w:val="clear" w:color="auto" w:fill="auto"/>
            <w:noWrap/>
            <w:vAlign w:val="center"/>
            <w:hideMark/>
          </w:tcPr>
          <w:p w14:paraId="1A32186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20.6%</w:t>
            </w:r>
          </w:p>
        </w:tc>
        <w:tc>
          <w:tcPr>
            <w:tcW w:w="350" w:type="pct"/>
            <w:tcBorders>
              <w:top w:val="nil"/>
              <w:left w:val="nil"/>
              <w:bottom w:val="single" w:sz="4" w:space="0" w:color="auto"/>
              <w:right w:val="single" w:sz="4" w:space="0" w:color="auto"/>
            </w:tcBorders>
            <w:shd w:val="clear" w:color="auto" w:fill="auto"/>
            <w:noWrap/>
            <w:vAlign w:val="center"/>
            <w:hideMark/>
          </w:tcPr>
          <w:p w14:paraId="0EE00F6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24.8%</w:t>
            </w:r>
          </w:p>
        </w:tc>
        <w:tc>
          <w:tcPr>
            <w:tcW w:w="350" w:type="pct"/>
            <w:tcBorders>
              <w:top w:val="nil"/>
              <w:left w:val="nil"/>
              <w:bottom w:val="single" w:sz="4" w:space="0" w:color="auto"/>
              <w:right w:val="single" w:sz="4" w:space="0" w:color="auto"/>
            </w:tcBorders>
            <w:shd w:val="clear" w:color="auto" w:fill="auto"/>
            <w:noWrap/>
            <w:vAlign w:val="center"/>
            <w:hideMark/>
          </w:tcPr>
          <w:p w14:paraId="44BAA06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29.0%</w:t>
            </w:r>
          </w:p>
        </w:tc>
        <w:tc>
          <w:tcPr>
            <w:tcW w:w="350" w:type="pct"/>
            <w:tcBorders>
              <w:top w:val="nil"/>
              <w:left w:val="nil"/>
              <w:bottom w:val="single" w:sz="4" w:space="0" w:color="auto"/>
              <w:right w:val="single" w:sz="4" w:space="0" w:color="auto"/>
            </w:tcBorders>
            <w:shd w:val="clear" w:color="auto" w:fill="auto"/>
            <w:noWrap/>
            <w:vAlign w:val="center"/>
            <w:hideMark/>
          </w:tcPr>
          <w:p w14:paraId="46A96B8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33.1%</w:t>
            </w:r>
          </w:p>
        </w:tc>
        <w:tc>
          <w:tcPr>
            <w:tcW w:w="350" w:type="pct"/>
            <w:tcBorders>
              <w:top w:val="nil"/>
              <w:left w:val="nil"/>
              <w:bottom w:val="single" w:sz="4" w:space="0" w:color="auto"/>
              <w:right w:val="single" w:sz="4" w:space="0" w:color="auto"/>
            </w:tcBorders>
            <w:shd w:val="clear" w:color="auto" w:fill="auto"/>
            <w:noWrap/>
            <w:vAlign w:val="center"/>
            <w:hideMark/>
          </w:tcPr>
          <w:p w14:paraId="6C8F3CD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37.3%</w:t>
            </w:r>
          </w:p>
        </w:tc>
        <w:tc>
          <w:tcPr>
            <w:tcW w:w="350" w:type="pct"/>
            <w:tcBorders>
              <w:top w:val="nil"/>
              <w:left w:val="nil"/>
              <w:bottom w:val="single" w:sz="4" w:space="0" w:color="auto"/>
              <w:right w:val="single" w:sz="4" w:space="0" w:color="auto"/>
            </w:tcBorders>
            <w:shd w:val="clear" w:color="auto" w:fill="auto"/>
            <w:noWrap/>
            <w:vAlign w:val="center"/>
            <w:hideMark/>
          </w:tcPr>
          <w:p w14:paraId="4E1EB8C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41.5%</w:t>
            </w:r>
          </w:p>
        </w:tc>
        <w:tc>
          <w:tcPr>
            <w:tcW w:w="350" w:type="pct"/>
            <w:tcBorders>
              <w:top w:val="nil"/>
              <w:left w:val="nil"/>
              <w:bottom w:val="single" w:sz="4" w:space="0" w:color="auto"/>
              <w:right w:val="single" w:sz="4" w:space="0" w:color="auto"/>
            </w:tcBorders>
            <w:shd w:val="clear" w:color="auto" w:fill="auto"/>
            <w:noWrap/>
            <w:vAlign w:val="center"/>
            <w:hideMark/>
          </w:tcPr>
          <w:p w14:paraId="0BA4C4D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45.7%</w:t>
            </w:r>
          </w:p>
        </w:tc>
        <w:tc>
          <w:tcPr>
            <w:tcW w:w="350" w:type="pct"/>
            <w:tcBorders>
              <w:top w:val="nil"/>
              <w:left w:val="nil"/>
              <w:bottom w:val="single" w:sz="4" w:space="0" w:color="auto"/>
              <w:right w:val="single" w:sz="4" w:space="0" w:color="auto"/>
            </w:tcBorders>
            <w:shd w:val="clear" w:color="auto" w:fill="auto"/>
            <w:noWrap/>
            <w:vAlign w:val="center"/>
            <w:hideMark/>
          </w:tcPr>
          <w:p w14:paraId="4B1FB48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49.9%</w:t>
            </w:r>
          </w:p>
        </w:tc>
        <w:tc>
          <w:tcPr>
            <w:tcW w:w="350" w:type="pct"/>
            <w:tcBorders>
              <w:top w:val="nil"/>
              <w:left w:val="nil"/>
              <w:bottom w:val="single" w:sz="4" w:space="0" w:color="auto"/>
              <w:right w:val="single" w:sz="4" w:space="0" w:color="auto"/>
            </w:tcBorders>
            <w:shd w:val="clear" w:color="auto" w:fill="auto"/>
            <w:noWrap/>
            <w:vAlign w:val="center"/>
            <w:hideMark/>
          </w:tcPr>
          <w:p w14:paraId="1A5CC19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54.0%</w:t>
            </w:r>
          </w:p>
        </w:tc>
        <w:tc>
          <w:tcPr>
            <w:tcW w:w="350" w:type="pct"/>
            <w:tcBorders>
              <w:top w:val="nil"/>
              <w:left w:val="nil"/>
              <w:bottom w:val="single" w:sz="4" w:space="0" w:color="auto"/>
              <w:right w:val="single" w:sz="4" w:space="0" w:color="auto"/>
            </w:tcBorders>
            <w:shd w:val="clear" w:color="auto" w:fill="auto"/>
            <w:noWrap/>
            <w:vAlign w:val="center"/>
            <w:hideMark/>
          </w:tcPr>
          <w:p w14:paraId="737C441A"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58.2%</w:t>
            </w:r>
          </w:p>
        </w:tc>
        <w:tc>
          <w:tcPr>
            <w:tcW w:w="350" w:type="pct"/>
            <w:tcBorders>
              <w:top w:val="nil"/>
              <w:left w:val="nil"/>
              <w:bottom w:val="single" w:sz="4" w:space="0" w:color="auto"/>
              <w:right w:val="single" w:sz="4" w:space="0" w:color="auto"/>
            </w:tcBorders>
            <w:shd w:val="clear" w:color="auto" w:fill="auto"/>
            <w:noWrap/>
            <w:vAlign w:val="center"/>
            <w:hideMark/>
          </w:tcPr>
          <w:p w14:paraId="014D8FC3"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4.2%</w:t>
            </w:r>
          </w:p>
        </w:tc>
      </w:tr>
      <w:tr w:rsidR="00EF7EE3" w:rsidRPr="004C1108" w14:paraId="1F5912F6"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AC0048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Asian/Pacific Islander</w:t>
            </w:r>
          </w:p>
        </w:tc>
        <w:tc>
          <w:tcPr>
            <w:tcW w:w="350" w:type="pct"/>
            <w:tcBorders>
              <w:top w:val="nil"/>
              <w:left w:val="nil"/>
              <w:bottom w:val="single" w:sz="4" w:space="0" w:color="auto"/>
              <w:right w:val="single" w:sz="4" w:space="0" w:color="auto"/>
            </w:tcBorders>
            <w:shd w:val="clear" w:color="auto" w:fill="auto"/>
            <w:noWrap/>
            <w:vAlign w:val="center"/>
            <w:hideMark/>
          </w:tcPr>
          <w:p w14:paraId="237A0679"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30.2%</w:t>
            </w:r>
          </w:p>
        </w:tc>
        <w:tc>
          <w:tcPr>
            <w:tcW w:w="350" w:type="pct"/>
            <w:tcBorders>
              <w:top w:val="nil"/>
              <w:left w:val="nil"/>
              <w:bottom w:val="single" w:sz="4" w:space="0" w:color="auto"/>
              <w:right w:val="single" w:sz="4" w:space="0" w:color="auto"/>
            </w:tcBorders>
            <w:shd w:val="clear" w:color="auto" w:fill="auto"/>
            <w:noWrap/>
            <w:vAlign w:val="center"/>
            <w:hideMark/>
          </w:tcPr>
          <w:p w14:paraId="1B5708D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33.7%</w:t>
            </w:r>
          </w:p>
        </w:tc>
        <w:tc>
          <w:tcPr>
            <w:tcW w:w="350" w:type="pct"/>
            <w:tcBorders>
              <w:top w:val="nil"/>
              <w:left w:val="nil"/>
              <w:bottom w:val="single" w:sz="4" w:space="0" w:color="auto"/>
              <w:right w:val="single" w:sz="4" w:space="0" w:color="auto"/>
            </w:tcBorders>
            <w:shd w:val="clear" w:color="auto" w:fill="auto"/>
            <w:noWrap/>
            <w:vAlign w:val="center"/>
            <w:hideMark/>
          </w:tcPr>
          <w:p w14:paraId="74FBF19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37.2%</w:t>
            </w:r>
          </w:p>
        </w:tc>
        <w:tc>
          <w:tcPr>
            <w:tcW w:w="350" w:type="pct"/>
            <w:tcBorders>
              <w:top w:val="nil"/>
              <w:left w:val="nil"/>
              <w:bottom w:val="single" w:sz="4" w:space="0" w:color="auto"/>
              <w:right w:val="single" w:sz="4" w:space="0" w:color="auto"/>
            </w:tcBorders>
            <w:shd w:val="clear" w:color="auto" w:fill="auto"/>
            <w:noWrap/>
            <w:vAlign w:val="center"/>
            <w:hideMark/>
          </w:tcPr>
          <w:p w14:paraId="00712F1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40.7%</w:t>
            </w:r>
          </w:p>
        </w:tc>
        <w:tc>
          <w:tcPr>
            <w:tcW w:w="350" w:type="pct"/>
            <w:tcBorders>
              <w:top w:val="nil"/>
              <w:left w:val="nil"/>
              <w:bottom w:val="single" w:sz="4" w:space="0" w:color="auto"/>
              <w:right w:val="single" w:sz="4" w:space="0" w:color="auto"/>
            </w:tcBorders>
            <w:shd w:val="clear" w:color="auto" w:fill="auto"/>
            <w:noWrap/>
            <w:vAlign w:val="center"/>
            <w:hideMark/>
          </w:tcPr>
          <w:p w14:paraId="1128BB8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44.2%</w:t>
            </w:r>
          </w:p>
        </w:tc>
        <w:tc>
          <w:tcPr>
            <w:tcW w:w="350" w:type="pct"/>
            <w:tcBorders>
              <w:top w:val="nil"/>
              <w:left w:val="nil"/>
              <w:bottom w:val="single" w:sz="4" w:space="0" w:color="auto"/>
              <w:right w:val="single" w:sz="4" w:space="0" w:color="auto"/>
            </w:tcBorders>
            <w:shd w:val="clear" w:color="auto" w:fill="auto"/>
            <w:noWrap/>
            <w:vAlign w:val="center"/>
            <w:hideMark/>
          </w:tcPr>
          <w:p w14:paraId="62AE338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47.7%</w:t>
            </w:r>
          </w:p>
        </w:tc>
        <w:tc>
          <w:tcPr>
            <w:tcW w:w="350" w:type="pct"/>
            <w:tcBorders>
              <w:top w:val="nil"/>
              <w:left w:val="nil"/>
              <w:bottom w:val="single" w:sz="4" w:space="0" w:color="auto"/>
              <w:right w:val="single" w:sz="4" w:space="0" w:color="auto"/>
            </w:tcBorders>
            <w:shd w:val="clear" w:color="auto" w:fill="auto"/>
            <w:noWrap/>
            <w:vAlign w:val="center"/>
            <w:hideMark/>
          </w:tcPr>
          <w:p w14:paraId="4FFAD9E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51.2%</w:t>
            </w:r>
          </w:p>
        </w:tc>
        <w:tc>
          <w:tcPr>
            <w:tcW w:w="350" w:type="pct"/>
            <w:tcBorders>
              <w:top w:val="nil"/>
              <w:left w:val="nil"/>
              <w:bottom w:val="single" w:sz="4" w:space="0" w:color="auto"/>
              <w:right w:val="single" w:sz="4" w:space="0" w:color="auto"/>
            </w:tcBorders>
            <w:shd w:val="clear" w:color="auto" w:fill="auto"/>
            <w:noWrap/>
            <w:vAlign w:val="center"/>
            <w:hideMark/>
          </w:tcPr>
          <w:p w14:paraId="65875D9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54.7%</w:t>
            </w:r>
          </w:p>
        </w:tc>
        <w:tc>
          <w:tcPr>
            <w:tcW w:w="350" w:type="pct"/>
            <w:tcBorders>
              <w:top w:val="nil"/>
              <w:left w:val="nil"/>
              <w:bottom w:val="single" w:sz="4" w:space="0" w:color="auto"/>
              <w:right w:val="single" w:sz="4" w:space="0" w:color="auto"/>
            </w:tcBorders>
            <w:shd w:val="clear" w:color="auto" w:fill="auto"/>
            <w:noWrap/>
            <w:vAlign w:val="center"/>
            <w:hideMark/>
          </w:tcPr>
          <w:p w14:paraId="151D894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58.1%</w:t>
            </w:r>
          </w:p>
        </w:tc>
        <w:tc>
          <w:tcPr>
            <w:tcW w:w="350" w:type="pct"/>
            <w:tcBorders>
              <w:top w:val="nil"/>
              <w:left w:val="nil"/>
              <w:bottom w:val="single" w:sz="4" w:space="0" w:color="auto"/>
              <w:right w:val="single" w:sz="4" w:space="0" w:color="auto"/>
            </w:tcBorders>
            <w:shd w:val="clear" w:color="auto" w:fill="auto"/>
            <w:noWrap/>
            <w:vAlign w:val="center"/>
            <w:hideMark/>
          </w:tcPr>
          <w:p w14:paraId="2928171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61.6%</w:t>
            </w:r>
          </w:p>
        </w:tc>
        <w:tc>
          <w:tcPr>
            <w:tcW w:w="350" w:type="pct"/>
            <w:tcBorders>
              <w:top w:val="nil"/>
              <w:left w:val="nil"/>
              <w:bottom w:val="single" w:sz="4" w:space="0" w:color="auto"/>
              <w:right w:val="single" w:sz="4" w:space="0" w:color="auto"/>
            </w:tcBorders>
            <w:shd w:val="clear" w:color="auto" w:fill="auto"/>
            <w:noWrap/>
            <w:vAlign w:val="center"/>
            <w:hideMark/>
          </w:tcPr>
          <w:p w14:paraId="020AFDAA"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65.1%</w:t>
            </w:r>
          </w:p>
        </w:tc>
        <w:tc>
          <w:tcPr>
            <w:tcW w:w="350" w:type="pct"/>
            <w:tcBorders>
              <w:top w:val="nil"/>
              <w:left w:val="nil"/>
              <w:bottom w:val="single" w:sz="4" w:space="0" w:color="auto"/>
              <w:right w:val="single" w:sz="4" w:space="0" w:color="auto"/>
            </w:tcBorders>
            <w:shd w:val="clear" w:color="auto" w:fill="auto"/>
            <w:noWrap/>
            <w:vAlign w:val="center"/>
            <w:hideMark/>
          </w:tcPr>
          <w:p w14:paraId="7AB22597"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3.5%</w:t>
            </w:r>
          </w:p>
        </w:tc>
      </w:tr>
      <w:tr w:rsidR="00EF7EE3" w:rsidRPr="004C1108" w14:paraId="722C35F0"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3739309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Caucasian</w:t>
            </w:r>
          </w:p>
        </w:tc>
        <w:tc>
          <w:tcPr>
            <w:tcW w:w="350" w:type="pct"/>
            <w:tcBorders>
              <w:top w:val="nil"/>
              <w:left w:val="nil"/>
              <w:bottom w:val="single" w:sz="4" w:space="0" w:color="auto"/>
              <w:right w:val="single" w:sz="4" w:space="0" w:color="auto"/>
            </w:tcBorders>
            <w:shd w:val="clear" w:color="auto" w:fill="auto"/>
            <w:noWrap/>
            <w:vAlign w:val="center"/>
            <w:hideMark/>
          </w:tcPr>
          <w:p w14:paraId="28093CA3"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54.0%</w:t>
            </w:r>
          </w:p>
        </w:tc>
        <w:tc>
          <w:tcPr>
            <w:tcW w:w="350" w:type="pct"/>
            <w:tcBorders>
              <w:top w:val="nil"/>
              <w:left w:val="nil"/>
              <w:bottom w:val="single" w:sz="4" w:space="0" w:color="auto"/>
              <w:right w:val="single" w:sz="4" w:space="0" w:color="auto"/>
            </w:tcBorders>
            <w:shd w:val="clear" w:color="auto" w:fill="auto"/>
            <w:noWrap/>
            <w:vAlign w:val="center"/>
            <w:hideMark/>
          </w:tcPr>
          <w:p w14:paraId="05680CC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56.3%</w:t>
            </w:r>
          </w:p>
        </w:tc>
        <w:tc>
          <w:tcPr>
            <w:tcW w:w="350" w:type="pct"/>
            <w:tcBorders>
              <w:top w:val="nil"/>
              <w:left w:val="nil"/>
              <w:bottom w:val="single" w:sz="4" w:space="0" w:color="auto"/>
              <w:right w:val="single" w:sz="4" w:space="0" w:color="auto"/>
            </w:tcBorders>
            <w:shd w:val="clear" w:color="auto" w:fill="auto"/>
            <w:noWrap/>
            <w:vAlign w:val="center"/>
            <w:hideMark/>
          </w:tcPr>
          <w:p w14:paraId="03BE5CA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58.6%</w:t>
            </w:r>
          </w:p>
        </w:tc>
        <w:tc>
          <w:tcPr>
            <w:tcW w:w="350" w:type="pct"/>
            <w:tcBorders>
              <w:top w:val="nil"/>
              <w:left w:val="nil"/>
              <w:bottom w:val="single" w:sz="4" w:space="0" w:color="auto"/>
              <w:right w:val="single" w:sz="4" w:space="0" w:color="auto"/>
            </w:tcBorders>
            <w:shd w:val="clear" w:color="auto" w:fill="auto"/>
            <w:noWrap/>
            <w:vAlign w:val="center"/>
            <w:hideMark/>
          </w:tcPr>
          <w:p w14:paraId="38F41A0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60.9%</w:t>
            </w:r>
          </w:p>
        </w:tc>
        <w:tc>
          <w:tcPr>
            <w:tcW w:w="350" w:type="pct"/>
            <w:tcBorders>
              <w:top w:val="nil"/>
              <w:left w:val="nil"/>
              <w:bottom w:val="single" w:sz="4" w:space="0" w:color="auto"/>
              <w:right w:val="single" w:sz="4" w:space="0" w:color="auto"/>
            </w:tcBorders>
            <w:shd w:val="clear" w:color="auto" w:fill="auto"/>
            <w:noWrap/>
            <w:vAlign w:val="center"/>
            <w:hideMark/>
          </w:tcPr>
          <w:p w14:paraId="079839D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63.2%</w:t>
            </w:r>
          </w:p>
        </w:tc>
        <w:tc>
          <w:tcPr>
            <w:tcW w:w="350" w:type="pct"/>
            <w:tcBorders>
              <w:top w:val="nil"/>
              <w:left w:val="nil"/>
              <w:bottom w:val="single" w:sz="4" w:space="0" w:color="auto"/>
              <w:right w:val="single" w:sz="4" w:space="0" w:color="auto"/>
            </w:tcBorders>
            <w:shd w:val="clear" w:color="auto" w:fill="auto"/>
            <w:noWrap/>
            <w:vAlign w:val="center"/>
            <w:hideMark/>
          </w:tcPr>
          <w:p w14:paraId="75EFD42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65.5%</w:t>
            </w:r>
          </w:p>
        </w:tc>
        <w:tc>
          <w:tcPr>
            <w:tcW w:w="350" w:type="pct"/>
            <w:tcBorders>
              <w:top w:val="nil"/>
              <w:left w:val="nil"/>
              <w:bottom w:val="single" w:sz="4" w:space="0" w:color="auto"/>
              <w:right w:val="single" w:sz="4" w:space="0" w:color="auto"/>
            </w:tcBorders>
            <w:shd w:val="clear" w:color="auto" w:fill="auto"/>
            <w:noWrap/>
            <w:vAlign w:val="center"/>
            <w:hideMark/>
          </w:tcPr>
          <w:p w14:paraId="0CA9ECD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67.8%</w:t>
            </w:r>
          </w:p>
        </w:tc>
        <w:tc>
          <w:tcPr>
            <w:tcW w:w="350" w:type="pct"/>
            <w:tcBorders>
              <w:top w:val="nil"/>
              <w:left w:val="nil"/>
              <w:bottom w:val="single" w:sz="4" w:space="0" w:color="auto"/>
              <w:right w:val="single" w:sz="4" w:space="0" w:color="auto"/>
            </w:tcBorders>
            <w:shd w:val="clear" w:color="auto" w:fill="auto"/>
            <w:noWrap/>
            <w:vAlign w:val="center"/>
            <w:hideMark/>
          </w:tcPr>
          <w:p w14:paraId="6DEF37C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70.1%</w:t>
            </w:r>
          </w:p>
        </w:tc>
        <w:tc>
          <w:tcPr>
            <w:tcW w:w="350" w:type="pct"/>
            <w:tcBorders>
              <w:top w:val="nil"/>
              <w:left w:val="nil"/>
              <w:bottom w:val="single" w:sz="4" w:space="0" w:color="auto"/>
              <w:right w:val="single" w:sz="4" w:space="0" w:color="auto"/>
            </w:tcBorders>
            <w:shd w:val="clear" w:color="auto" w:fill="auto"/>
            <w:noWrap/>
            <w:vAlign w:val="center"/>
            <w:hideMark/>
          </w:tcPr>
          <w:p w14:paraId="0D3C11C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72.4%</w:t>
            </w:r>
          </w:p>
        </w:tc>
        <w:tc>
          <w:tcPr>
            <w:tcW w:w="350" w:type="pct"/>
            <w:tcBorders>
              <w:top w:val="nil"/>
              <w:left w:val="nil"/>
              <w:bottom w:val="single" w:sz="4" w:space="0" w:color="auto"/>
              <w:right w:val="single" w:sz="4" w:space="0" w:color="auto"/>
            </w:tcBorders>
            <w:shd w:val="clear" w:color="auto" w:fill="auto"/>
            <w:noWrap/>
            <w:vAlign w:val="center"/>
            <w:hideMark/>
          </w:tcPr>
          <w:p w14:paraId="5481FD2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74.7%</w:t>
            </w:r>
          </w:p>
        </w:tc>
        <w:tc>
          <w:tcPr>
            <w:tcW w:w="350" w:type="pct"/>
            <w:tcBorders>
              <w:top w:val="nil"/>
              <w:left w:val="nil"/>
              <w:bottom w:val="single" w:sz="4" w:space="0" w:color="auto"/>
              <w:right w:val="single" w:sz="4" w:space="0" w:color="auto"/>
            </w:tcBorders>
            <w:shd w:val="clear" w:color="auto" w:fill="auto"/>
            <w:noWrap/>
            <w:vAlign w:val="center"/>
            <w:hideMark/>
          </w:tcPr>
          <w:p w14:paraId="19D93ABA"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77.0%</w:t>
            </w:r>
          </w:p>
        </w:tc>
        <w:tc>
          <w:tcPr>
            <w:tcW w:w="350" w:type="pct"/>
            <w:tcBorders>
              <w:top w:val="nil"/>
              <w:left w:val="nil"/>
              <w:bottom w:val="single" w:sz="4" w:space="0" w:color="auto"/>
              <w:right w:val="single" w:sz="4" w:space="0" w:color="auto"/>
            </w:tcBorders>
            <w:shd w:val="clear" w:color="auto" w:fill="auto"/>
            <w:noWrap/>
            <w:vAlign w:val="center"/>
            <w:hideMark/>
          </w:tcPr>
          <w:p w14:paraId="3DAEB395"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2.3%</w:t>
            </w:r>
          </w:p>
        </w:tc>
      </w:tr>
      <w:tr w:rsidR="00EF7EE3" w:rsidRPr="004C1108" w14:paraId="0C74C483"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51E3E1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Hispanic</w:t>
            </w:r>
          </w:p>
        </w:tc>
        <w:tc>
          <w:tcPr>
            <w:tcW w:w="350" w:type="pct"/>
            <w:tcBorders>
              <w:top w:val="nil"/>
              <w:left w:val="nil"/>
              <w:bottom w:val="single" w:sz="4" w:space="0" w:color="auto"/>
              <w:right w:val="single" w:sz="4" w:space="0" w:color="auto"/>
            </w:tcBorders>
            <w:shd w:val="clear" w:color="auto" w:fill="auto"/>
            <w:noWrap/>
            <w:vAlign w:val="center"/>
            <w:hideMark/>
          </w:tcPr>
          <w:p w14:paraId="14409C4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35.4%</w:t>
            </w:r>
          </w:p>
        </w:tc>
        <w:tc>
          <w:tcPr>
            <w:tcW w:w="350" w:type="pct"/>
            <w:tcBorders>
              <w:top w:val="nil"/>
              <w:left w:val="nil"/>
              <w:bottom w:val="single" w:sz="4" w:space="0" w:color="auto"/>
              <w:right w:val="single" w:sz="4" w:space="0" w:color="auto"/>
            </w:tcBorders>
            <w:shd w:val="clear" w:color="auto" w:fill="auto"/>
            <w:noWrap/>
            <w:vAlign w:val="center"/>
            <w:hideMark/>
          </w:tcPr>
          <w:p w14:paraId="0DB6F6F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38.6%</w:t>
            </w:r>
          </w:p>
        </w:tc>
        <w:tc>
          <w:tcPr>
            <w:tcW w:w="350" w:type="pct"/>
            <w:tcBorders>
              <w:top w:val="nil"/>
              <w:left w:val="nil"/>
              <w:bottom w:val="single" w:sz="4" w:space="0" w:color="auto"/>
              <w:right w:val="single" w:sz="4" w:space="0" w:color="auto"/>
            </w:tcBorders>
            <w:shd w:val="clear" w:color="auto" w:fill="auto"/>
            <w:noWrap/>
            <w:vAlign w:val="center"/>
            <w:hideMark/>
          </w:tcPr>
          <w:p w14:paraId="3F2CAED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41.9%</w:t>
            </w:r>
          </w:p>
        </w:tc>
        <w:tc>
          <w:tcPr>
            <w:tcW w:w="350" w:type="pct"/>
            <w:tcBorders>
              <w:top w:val="nil"/>
              <w:left w:val="nil"/>
              <w:bottom w:val="single" w:sz="4" w:space="0" w:color="auto"/>
              <w:right w:val="single" w:sz="4" w:space="0" w:color="auto"/>
            </w:tcBorders>
            <w:shd w:val="clear" w:color="auto" w:fill="auto"/>
            <w:noWrap/>
            <w:vAlign w:val="center"/>
            <w:hideMark/>
          </w:tcPr>
          <w:p w14:paraId="303CD49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45.1%</w:t>
            </w:r>
          </w:p>
        </w:tc>
        <w:tc>
          <w:tcPr>
            <w:tcW w:w="350" w:type="pct"/>
            <w:tcBorders>
              <w:top w:val="nil"/>
              <w:left w:val="nil"/>
              <w:bottom w:val="single" w:sz="4" w:space="0" w:color="auto"/>
              <w:right w:val="single" w:sz="4" w:space="0" w:color="auto"/>
            </w:tcBorders>
            <w:shd w:val="clear" w:color="auto" w:fill="auto"/>
            <w:noWrap/>
            <w:vAlign w:val="center"/>
            <w:hideMark/>
          </w:tcPr>
          <w:p w14:paraId="28B44DD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48.3%</w:t>
            </w:r>
          </w:p>
        </w:tc>
        <w:tc>
          <w:tcPr>
            <w:tcW w:w="350" w:type="pct"/>
            <w:tcBorders>
              <w:top w:val="nil"/>
              <w:left w:val="nil"/>
              <w:bottom w:val="single" w:sz="4" w:space="0" w:color="auto"/>
              <w:right w:val="single" w:sz="4" w:space="0" w:color="auto"/>
            </w:tcBorders>
            <w:shd w:val="clear" w:color="auto" w:fill="auto"/>
            <w:noWrap/>
            <w:vAlign w:val="center"/>
            <w:hideMark/>
          </w:tcPr>
          <w:p w14:paraId="281B18A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51.6%</w:t>
            </w:r>
          </w:p>
        </w:tc>
        <w:tc>
          <w:tcPr>
            <w:tcW w:w="350" w:type="pct"/>
            <w:tcBorders>
              <w:top w:val="nil"/>
              <w:left w:val="nil"/>
              <w:bottom w:val="single" w:sz="4" w:space="0" w:color="auto"/>
              <w:right w:val="single" w:sz="4" w:space="0" w:color="auto"/>
            </w:tcBorders>
            <w:shd w:val="clear" w:color="auto" w:fill="auto"/>
            <w:noWrap/>
            <w:vAlign w:val="center"/>
            <w:hideMark/>
          </w:tcPr>
          <w:p w14:paraId="328DBFE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54.8%</w:t>
            </w:r>
          </w:p>
        </w:tc>
        <w:tc>
          <w:tcPr>
            <w:tcW w:w="350" w:type="pct"/>
            <w:tcBorders>
              <w:top w:val="nil"/>
              <w:left w:val="nil"/>
              <w:bottom w:val="single" w:sz="4" w:space="0" w:color="auto"/>
              <w:right w:val="single" w:sz="4" w:space="0" w:color="auto"/>
            </w:tcBorders>
            <w:shd w:val="clear" w:color="auto" w:fill="auto"/>
            <w:noWrap/>
            <w:vAlign w:val="center"/>
            <w:hideMark/>
          </w:tcPr>
          <w:p w14:paraId="030880E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58.0%</w:t>
            </w:r>
          </w:p>
        </w:tc>
        <w:tc>
          <w:tcPr>
            <w:tcW w:w="350" w:type="pct"/>
            <w:tcBorders>
              <w:top w:val="nil"/>
              <w:left w:val="nil"/>
              <w:bottom w:val="single" w:sz="4" w:space="0" w:color="auto"/>
              <w:right w:val="single" w:sz="4" w:space="0" w:color="auto"/>
            </w:tcBorders>
            <w:shd w:val="clear" w:color="auto" w:fill="auto"/>
            <w:noWrap/>
            <w:vAlign w:val="center"/>
            <w:hideMark/>
          </w:tcPr>
          <w:p w14:paraId="7844D76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61.3%</w:t>
            </w:r>
          </w:p>
        </w:tc>
        <w:tc>
          <w:tcPr>
            <w:tcW w:w="350" w:type="pct"/>
            <w:tcBorders>
              <w:top w:val="nil"/>
              <w:left w:val="nil"/>
              <w:bottom w:val="single" w:sz="4" w:space="0" w:color="auto"/>
              <w:right w:val="single" w:sz="4" w:space="0" w:color="auto"/>
            </w:tcBorders>
            <w:shd w:val="clear" w:color="auto" w:fill="auto"/>
            <w:noWrap/>
            <w:vAlign w:val="center"/>
            <w:hideMark/>
          </w:tcPr>
          <w:p w14:paraId="040990C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64.5%</w:t>
            </w:r>
          </w:p>
        </w:tc>
        <w:tc>
          <w:tcPr>
            <w:tcW w:w="350" w:type="pct"/>
            <w:tcBorders>
              <w:top w:val="nil"/>
              <w:left w:val="nil"/>
              <w:bottom w:val="single" w:sz="4" w:space="0" w:color="auto"/>
              <w:right w:val="single" w:sz="4" w:space="0" w:color="auto"/>
            </w:tcBorders>
            <w:shd w:val="clear" w:color="auto" w:fill="auto"/>
            <w:noWrap/>
            <w:vAlign w:val="center"/>
            <w:hideMark/>
          </w:tcPr>
          <w:p w14:paraId="7E04B9FF"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67.7%</w:t>
            </w:r>
          </w:p>
        </w:tc>
        <w:tc>
          <w:tcPr>
            <w:tcW w:w="350" w:type="pct"/>
            <w:tcBorders>
              <w:top w:val="nil"/>
              <w:left w:val="nil"/>
              <w:bottom w:val="single" w:sz="4" w:space="0" w:color="auto"/>
              <w:right w:val="single" w:sz="4" w:space="0" w:color="auto"/>
            </w:tcBorders>
            <w:shd w:val="clear" w:color="auto" w:fill="auto"/>
            <w:noWrap/>
            <w:vAlign w:val="center"/>
            <w:hideMark/>
          </w:tcPr>
          <w:p w14:paraId="16606E51"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3.2%</w:t>
            </w:r>
          </w:p>
        </w:tc>
      </w:tr>
      <w:tr w:rsidR="00EF7EE3" w:rsidRPr="004C1108" w14:paraId="473C2BD5"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76A39A1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Two or More Races</w:t>
            </w:r>
          </w:p>
        </w:tc>
        <w:tc>
          <w:tcPr>
            <w:tcW w:w="350" w:type="pct"/>
            <w:tcBorders>
              <w:top w:val="nil"/>
              <w:left w:val="nil"/>
              <w:bottom w:val="single" w:sz="4" w:space="0" w:color="auto"/>
              <w:right w:val="single" w:sz="4" w:space="0" w:color="auto"/>
            </w:tcBorders>
            <w:shd w:val="clear" w:color="auto" w:fill="auto"/>
            <w:noWrap/>
            <w:vAlign w:val="center"/>
            <w:hideMark/>
          </w:tcPr>
          <w:p w14:paraId="7D5AA57D"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39.2%</w:t>
            </w:r>
          </w:p>
        </w:tc>
        <w:tc>
          <w:tcPr>
            <w:tcW w:w="350" w:type="pct"/>
            <w:tcBorders>
              <w:top w:val="nil"/>
              <w:left w:val="nil"/>
              <w:bottom w:val="single" w:sz="4" w:space="0" w:color="auto"/>
              <w:right w:val="single" w:sz="4" w:space="0" w:color="auto"/>
            </w:tcBorders>
            <w:shd w:val="clear" w:color="auto" w:fill="auto"/>
            <w:noWrap/>
            <w:vAlign w:val="center"/>
            <w:hideMark/>
          </w:tcPr>
          <w:p w14:paraId="198B9D7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42.2%</w:t>
            </w:r>
          </w:p>
        </w:tc>
        <w:tc>
          <w:tcPr>
            <w:tcW w:w="350" w:type="pct"/>
            <w:tcBorders>
              <w:top w:val="nil"/>
              <w:left w:val="nil"/>
              <w:bottom w:val="single" w:sz="4" w:space="0" w:color="auto"/>
              <w:right w:val="single" w:sz="4" w:space="0" w:color="auto"/>
            </w:tcBorders>
            <w:shd w:val="clear" w:color="auto" w:fill="auto"/>
            <w:noWrap/>
            <w:vAlign w:val="center"/>
            <w:hideMark/>
          </w:tcPr>
          <w:p w14:paraId="1C252EE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45.2%</w:t>
            </w:r>
          </w:p>
        </w:tc>
        <w:tc>
          <w:tcPr>
            <w:tcW w:w="350" w:type="pct"/>
            <w:tcBorders>
              <w:top w:val="nil"/>
              <w:left w:val="nil"/>
              <w:bottom w:val="single" w:sz="4" w:space="0" w:color="auto"/>
              <w:right w:val="single" w:sz="4" w:space="0" w:color="auto"/>
            </w:tcBorders>
            <w:shd w:val="clear" w:color="auto" w:fill="auto"/>
            <w:noWrap/>
            <w:vAlign w:val="center"/>
            <w:hideMark/>
          </w:tcPr>
          <w:p w14:paraId="59854F1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48.3%</w:t>
            </w:r>
          </w:p>
        </w:tc>
        <w:tc>
          <w:tcPr>
            <w:tcW w:w="350" w:type="pct"/>
            <w:tcBorders>
              <w:top w:val="nil"/>
              <w:left w:val="nil"/>
              <w:bottom w:val="single" w:sz="4" w:space="0" w:color="auto"/>
              <w:right w:val="single" w:sz="4" w:space="0" w:color="auto"/>
            </w:tcBorders>
            <w:shd w:val="clear" w:color="auto" w:fill="auto"/>
            <w:noWrap/>
            <w:vAlign w:val="center"/>
            <w:hideMark/>
          </w:tcPr>
          <w:p w14:paraId="6A38639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51.3%</w:t>
            </w:r>
          </w:p>
        </w:tc>
        <w:tc>
          <w:tcPr>
            <w:tcW w:w="350" w:type="pct"/>
            <w:tcBorders>
              <w:top w:val="nil"/>
              <w:left w:val="nil"/>
              <w:bottom w:val="single" w:sz="4" w:space="0" w:color="auto"/>
              <w:right w:val="single" w:sz="4" w:space="0" w:color="auto"/>
            </w:tcBorders>
            <w:shd w:val="clear" w:color="auto" w:fill="auto"/>
            <w:noWrap/>
            <w:vAlign w:val="center"/>
            <w:hideMark/>
          </w:tcPr>
          <w:p w14:paraId="1051C58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54.4%</w:t>
            </w:r>
          </w:p>
        </w:tc>
        <w:tc>
          <w:tcPr>
            <w:tcW w:w="350" w:type="pct"/>
            <w:tcBorders>
              <w:top w:val="nil"/>
              <w:left w:val="nil"/>
              <w:bottom w:val="single" w:sz="4" w:space="0" w:color="auto"/>
              <w:right w:val="single" w:sz="4" w:space="0" w:color="auto"/>
            </w:tcBorders>
            <w:shd w:val="clear" w:color="auto" w:fill="auto"/>
            <w:noWrap/>
            <w:vAlign w:val="center"/>
            <w:hideMark/>
          </w:tcPr>
          <w:p w14:paraId="2C141A9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57.4%</w:t>
            </w:r>
          </w:p>
        </w:tc>
        <w:tc>
          <w:tcPr>
            <w:tcW w:w="350" w:type="pct"/>
            <w:tcBorders>
              <w:top w:val="nil"/>
              <w:left w:val="nil"/>
              <w:bottom w:val="single" w:sz="4" w:space="0" w:color="auto"/>
              <w:right w:val="single" w:sz="4" w:space="0" w:color="auto"/>
            </w:tcBorders>
            <w:shd w:val="clear" w:color="auto" w:fill="auto"/>
            <w:noWrap/>
            <w:vAlign w:val="center"/>
            <w:hideMark/>
          </w:tcPr>
          <w:p w14:paraId="1A4E174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60.5%</w:t>
            </w:r>
          </w:p>
        </w:tc>
        <w:tc>
          <w:tcPr>
            <w:tcW w:w="350" w:type="pct"/>
            <w:tcBorders>
              <w:top w:val="nil"/>
              <w:left w:val="nil"/>
              <w:bottom w:val="single" w:sz="4" w:space="0" w:color="auto"/>
              <w:right w:val="single" w:sz="4" w:space="0" w:color="auto"/>
            </w:tcBorders>
            <w:shd w:val="clear" w:color="auto" w:fill="auto"/>
            <w:noWrap/>
            <w:vAlign w:val="center"/>
            <w:hideMark/>
          </w:tcPr>
          <w:p w14:paraId="40E016F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63.5%</w:t>
            </w:r>
          </w:p>
        </w:tc>
        <w:tc>
          <w:tcPr>
            <w:tcW w:w="350" w:type="pct"/>
            <w:tcBorders>
              <w:top w:val="nil"/>
              <w:left w:val="nil"/>
              <w:bottom w:val="single" w:sz="4" w:space="0" w:color="auto"/>
              <w:right w:val="single" w:sz="4" w:space="0" w:color="auto"/>
            </w:tcBorders>
            <w:shd w:val="clear" w:color="auto" w:fill="auto"/>
            <w:noWrap/>
            <w:vAlign w:val="center"/>
            <w:hideMark/>
          </w:tcPr>
          <w:p w14:paraId="6FDE24E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66.5%</w:t>
            </w:r>
          </w:p>
        </w:tc>
        <w:tc>
          <w:tcPr>
            <w:tcW w:w="350" w:type="pct"/>
            <w:tcBorders>
              <w:top w:val="nil"/>
              <w:left w:val="nil"/>
              <w:bottom w:val="single" w:sz="4" w:space="0" w:color="auto"/>
              <w:right w:val="single" w:sz="4" w:space="0" w:color="auto"/>
            </w:tcBorders>
            <w:shd w:val="clear" w:color="auto" w:fill="auto"/>
            <w:noWrap/>
            <w:vAlign w:val="center"/>
            <w:hideMark/>
          </w:tcPr>
          <w:p w14:paraId="383B631A"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69.6%</w:t>
            </w:r>
          </w:p>
        </w:tc>
        <w:tc>
          <w:tcPr>
            <w:tcW w:w="350" w:type="pct"/>
            <w:tcBorders>
              <w:top w:val="nil"/>
              <w:left w:val="nil"/>
              <w:bottom w:val="single" w:sz="4" w:space="0" w:color="auto"/>
              <w:right w:val="single" w:sz="4" w:space="0" w:color="auto"/>
            </w:tcBorders>
            <w:shd w:val="clear" w:color="auto" w:fill="auto"/>
            <w:noWrap/>
            <w:vAlign w:val="center"/>
            <w:hideMark/>
          </w:tcPr>
          <w:p w14:paraId="5955AF8A"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3.0%</w:t>
            </w:r>
          </w:p>
        </w:tc>
      </w:tr>
      <w:tr w:rsidR="00EF7EE3" w:rsidRPr="004C1108" w14:paraId="6F6EF55C"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A6A570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Students with Disabilities</w:t>
            </w:r>
          </w:p>
        </w:tc>
        <w:tc>
          <w:tcPr>
            <w:tcW w:w="350" w:type="pct"/>
            <w:tcBorders>
              <w:top w:val="nil"/>
              <w:left w:val="nil"/>
              <w:bottom w:val="single" w:sz="4" w:space="0" w:color="auto"/>
              <w:right w:val="single" w:sz="4" w:space="0" w:color="auto"/>
            </w:tcBorders>
            <w:shd w:val="clear" w:color="auto" w:fill="auto"/>
            <w:noWrap/>
            <w:vAlign w:val="center"/>
            <w:hideMark/>
          </w:tcPr>
          <w:p w14:paraId="0C99A0C8"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11.3%</w:t>
            </w:r>
          </w:p>
        </w:tc>
        <w:tc>
          <w:tcPr>
            <w:tcW w:w="350" w:type="pct"/>
            <w:tcBorders>
              <w:top w:val="nil"/>
              <w:left w:val="nil"/>
              <w:bottom w:val="single" w:sz="4" w:space="0" w:color="auto"/>
              <w:right w:val="single" w:sz="4" w:space="0" w:color="auto"/>
            </w:tcBorders>
            <w:shd w:val="clear" w:color="auto" w:fill="auto"/>
            <w:noWrap/>
            <w:vAlign w:val="center"/>
            <w:hideMark/>
          </w:tcPr>
          <w:p w14:paraId="7CB9C81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15.8%</w:t>
            </w:r>
          </w:p>
        </w:tc>
        <w:tc>
          <w:tcPr>
            <w:tcW w:w="350" w:type="pct"/>
            <w:tcBorders>
              <w:top w:val="nil"/>
              <w:left w:val="nil"/>
              <w:bottom w:val="single" w:sz="4" w:space="0" w:color="auto"/>
              <w:right w:val="single" w:sz="4" w:space="0" w:color="auto"/>
            </w:tcBorders>
            <w:shd w:val="clear" w:color="auto" w:fill="auto"/>
            <w:noWrap/>
            <w:vAlign w:val="center"/>
            <w:hideMark/>
          </w:tcPr>
          <w:p w14:paraId="7E3DCD0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w:t>
            </w:r>
          </w:p>
        </w:tc>
        <w:tc>
          <w:tcPr>
            <w:tcW w:w="350" w:type="pct"/>
            <w:tcBorders>
              <w:top w:val="nil"/>
              <w:left w:val="nil"/>
              <w:bottom w:val="single" w:sz="4" w:space="0" w:color="auto"/>
              <w:right w:val="single" w:sz="4" w:space="0" w:color="auto"/>
            </w:tcBorders>
            <w:shd w:val="clear" w:color="auto" w:fill="auto"/>
            <w:noWrap/>
            <w:vAlign w:val="center"/>
            <w:hideMark/>
          </w:tcPr>
          <w:p w14:paraId="23EE977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24.6%</w:t>
            </w:r>
          </w:p>
        </w:tc>
        <w:tc>
          <w:tcPr>
            <w:tcW w:w="350" w:type="pct"/>
            <w:tcBorders>
              <w:top w:val="nil"/>
              <w:left w:val="nil"/>
              <w:bottom w:val="single" w:sz="4" w:space="0" w:color="auto"/>
              <w:right w:val="single" w:sz="4" w:space="0" w:color="auto"/>
            </w:tcBorders>
            <w:shd w:val="clear" w:color="auto" w:fill="auto"/>
            <w:noWrap/>
            <w:vAlign w:val="center"/>
            <w:hideMark/>
          </w:tcPr>
          <w:p w14:paraId="1335DD6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29.1%</w:t>
            </w:r>
          </w:p>
        </w:tc>
        <w:tc>
          <w:tcPr>
            <w:tcW w:w="350" w:type="pct"/>
            <w:tcBorders>
              <w:top w:val="nil"/>
              <w:left w:val="nil"/>
              <w:bottom w:val="single" w:sz="4" w:space="0" w:color="auto"/>
              <w:right w:val="single" w:sz="4" w:space="0" w:color="auto"/>
            </w:tcBorders>
            <w:shd w:val="clear" w:color="auto" w:fill="auto"/>
            <w:noWrap/>
            <w:vAlign w:val="center"/>
            <w:hideMark/>
          </w:tcPr>
          <w:p w14:paraId="147B166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33.5%</w:t>
            </w:r>
          </w:p>
        </w:tc>
        <w:tc>
          <w:tcPr>
            <w:tcW w:w="350" w:type="pct"/>
            <w:tcBorders>
              <w:top w:val="nil"/>
              <w:left w:val="nil"/>
              <w:bottom w:val="single" w:sz="4" w:space="0" w:color="auto"/>
              <w:right w:val="single" w:sz="4" w:space="0" w:color="auto"/>
            </w:tcBorders>
            <w:shd w:val="clear" w:color="auto" w:fill="auto"/>
            <w:noWrap/>
            <w:vAlign w:val="center"/>
            <w:hideMark/>
          </w:tcPr>
          <w:p w14:paraId="5117356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37.9%</w:t>
            </w:r>
          </w:p>
        </w:tc>
        <w:tc>
          <w:tcPr>
            <w:tcW w:w="350" w:type="pct"/>
            <w:tcBorders>
              <w:top w:val="nil"/>
              <w:left w:val="nil"/>
              <w:bottom w:val="single" w:sz="4" w:space="0" w:color="auto"/>
              <w:right w:val="single" w:sz="4" w:space="0" w:color="auto"/>
            </w:tcBorders>
            <w:shd w:val="clear" w:color="auto" w:fill="auto"/>
            <w:noWrap/>
            <w:vAlign w:val="center"/>
            <w:hideMark/>
          </w:tcPr>
          <w:p w14:paraId="02695F6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42.4%</w:t>
            </w:r>
          </w:p>
        </w:tc>
        <w:tc>
          <w:tcPr>
            <w:tcW w:w="350" w:type="pct"/>
            <w:tcBorders>
              <w:top w:val="nil"/>
              <w:left w:val="nil"/>
              <w:bottom w:val="single" w:sz="4" w:space="0" w:color="auto"/>
              <w:right w:val="single" w:sz="4" w:space="0" w:color="auto"/>
            </w:tcBorders>
            <w:shd w:val="clear" w:color="auto" w:fill="auto"/>
            <w:noWrap/>
            <w:vAlign w:val="center"/>
            <w:hideMark/>
          </w:tcPr>
          <w:p w14:paraId="1F7EC7B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46.8%</w:t>
            </w:r>
          </w:p>
        </w:tc>
        <w:tc>
          <w:tcPr>
            <w:tcW w:w="350" w:type="pct"/>
            <w:tcBorders>
              <w:top w:val="nil"/>
              <w:left w:val="nil"/>
              <w:bottom w:val="single" w:sz="4" w:space="0" w:color="auto"/>
              <w:right w:val="single" w:sz="4" w:space="0" w:color="auto"/>
            </w:tcBorders>
            <w:shd w:val="clear" w:color="auto" w:fill="auto"/>
            <w:noWrap/>
            <w:vAlign w:val="center"/>
            <w:hideMark/>
          </w:tcPr>
          <w:p w14:paraId="5DC09FA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51.2%</w:t>
            </w:r>
          </w:p>
        </w:tc>
        <w:tc>
          <w:tcPr>
            <w:tcW w:w="350" w:type="pct"/>
            <w:tcBorders>
              <w:top w:val="nil"/>
              <w:left w:val="nil"/>
              <w:bottom w:val="single" w:sz="4" w:space="0" w:color="auto"/>
              <w:right w:val="single" w:sz="4" w:space="0" w:color="auto"/>
            </w:tcBorders>
            <w:shd w:val="clear" w:color="auto" w:fill="auto"/>
            <w:noWrap/>
            <w:vAlign w:val="center"/>
            <w:hideMark/>
          </w:tcPr>
          <w:p w14:paraId="41B8E6C3"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55.7%</w:t>
            </w:r>
          </w:p>
        </w:tc>
        <w:tc>
          <w:tcPr>
            <w:tcW w:w="350" w:type="pct"/>
            <w:tcBorders>
              <w:top w:val="nil"/>
              <w:left w:val="nil"/>
              <w:bottom w:val="single" w:sz="4" w:space="0" w:color="auto"/>
              <w:right w:val="single" w:sz="4" w:space="0" w:color="auto"/>
            </w:tcBorders>
            <w:shd w:val="clear" w:color="auto" w:fill="auto"/>
            <w:noWrap/>
            <w:vAlign w:val="center"/>
            <w:hideMark/>
          </w:tcPr>
          <w:p w14:paraId="6D79A9AB"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4.4%</w:t>
            </w:r>
          </w:p>
        </w:tc>
      </w:tr>
      <w:tr w:rsidR="00EF7EE3" w:rsidRPr="004C1108" w14:paraId="0A340288"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EC7CE8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English Learners</w:t>
            </w:r>
          </w:p>
        </w:tc>
        <w:tc>
          <w:tcPr>
            <w:tcW w:w="350" w:type="pct"/>
            <w:tcBorders>
              <w:top w:val="nil"/>
              <w:left w:val="nil"/>
              <w:bottom w:val="single" w:sz="4" w:space="0" w:color="auto"/>
              <w:right w:val="single" w:sz="4" w:space="0" w:color="auto"/>
            </w:tcBorders>
            <w:shd w:val="clear" w:color="auto" w:fill="auto"/>
            <w:noWrap/>
            <w:vAlign w:val="center"/>
            <w:hideMark/>
          </w:tcPr>
          <w:p w14:paraId="224AA726"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5.1%</w:t>
            </w:r>
          </w:p>
        </w:tc>
        <w:tc>
          <w:tcPr>
            <w:tcW w:w="350" w:type="pct"/>
            <w:tcBorders>
              <w:top w:val="nil"/>
              <w:left w:val="nil"/>
              <w:bottom w:val="single" w:sz="4" w:space="0" w:color="auto"/>
              <w:right w:val="single" w:sz="4" w:space="0" w:color="auto"/>
            </w:tcBorders>
            <w:shd w:val="clear" w:color="auto" w:fill="auto"/>
            <w:noWrap/>
            <w:vAlign w:val="center"/>
            <w:hideMark/>
          </w:tcPr>
          <w:p w14:paraId="24FB26B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9.8%</w:t>
            </w:r>
          </w:p>
        </w:tc>
        <w:tc>
          <w:tcPr>
            <w:tcW w:w="350" w:type="pct"/>
            <w:tcBorders>
              <w:top w:val="nil"/>
              <w:left w:val="nil"/>
              <w:bottom w:val="single" w:sz="4" w:space="0" w:color="auto"/>
              <w:right w:val="single" w:sz="4" w:space="0" w:color="auto"/>
            </w:tcBorders>
            <w:shd w:val="clear" w:color="auto" w:fill="auto"/>
            <w:noWrap/>
            <w:vAlign w:val="center"/>
            <w:hideMark/>
          </w:tcPr>
          <w:p w14:paraId="5207E52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14.6%</w:t>
            </w:r>
          </w:p>
        </w:tc>
        <w:tc>
          <w:tcPr>
            <w:tcW w:w="350" w:type="pct"/>
            <w:tcBorders>
              <w:top w:val="nil"/>
              <w:left w:val="nil"/>
              <w:bottom w:val="single" w:sz="4" w:space="0" w:color="auto"/>
              <w:right w:val="single" w:sz="4" w:space="0" w:color="auto"/>
            </w:tcBorders>
            <w:shd w:val="clear" w:color="auto" w:fill="auto"/>
            <w:noWrap/>
            <w:vAlign w:val="center"/>
            <w:hideMark/>
          </w:tcPr>
          <w:p w14:paraId="13EF2AB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19.3%</w:t>
            </w:r>
          </w:p>
        </w:tc>
        <w:tc>
          <w:tcPr>
            <w:tcW w:w="350" w:type="pct"/>
            <w:tcBorders>
              <w:top w:val="nil"/>
              <w:left w:val="nil"/>
              <w:bottom w:val="single" w:sz="4" w:space="0" w:color="auto"/>
              <w:right w:val="single" w:sz="4" w:space="0" w:color="auto"/>
            </w:tcBorders>
            <w:shd w:val="clear" w:color="auto" w:fill="auto"/>
            <w:noWrap/>
            <w:vAlign w:val="center"/>
            <w:hideMark/>
          </w:tcPr>
          <w:p w14:paraId="594679A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24.1%</w:t>
            </w:r>
          </w:p>
        </w:tc>
        <w:tc>
          <w:tcPr>
            <w:tcW w:w="350" w:type="pct"/>
            <w:tcBorders>
              <w:top w:val="nil"/>
              <w:left w:val="nil"/>
              <w:bottom w:val="single" w:sz="4" w:space="0" w:color="auto"/>
              <w:right w:val="single" w:sz="4" w:space="0" w:color="auto"/>
            </w:tcBorders>
            <w:shd w:val="clear" w:color="auto" w:fill="auto"/>
            <w:noWrap/>
            <w:vAlign w:val="center"/>
            <w:hideMark/>
          </w:tcPr>
          <w:p w14:paraId="7FB51CC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28.8%</w:t>
            </w:r>
          </w:p>
        </w:tc>
        <w:tc>
          <w:tcPr>
            <w:tcW w:w="350" w:type="pct"/>
            <w:tcBorders>
              <w:top w:val="nil"/>
              <w:left w:val="nil"/>
              <w:bottom w:val="single" w:sz="4" w:space="0" w:color="auto"/>
              <w:right w:val="single" w:sz="4" w:space="0" w:color="auto"/>
            </w:tcBorders>
            <w:shd w:val="clear" w:color="auto" w:fill="auto"/>
            <w:noWrap/>
            <w:vAlign w:val="center"/>
            <w:hideMark/>
          </w:tcPr>
          <w:p w14:paraId="621F0CA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33.5%</w:t>
            </w:r>
          </w:p>
        </w:tc>
        <w:tc>
          <w:tcPr>
            <w:tcW w:w="350" w:type="pct"/>
            <w:tcBorders>
              <w:top w:val="nil"/>
              <w:left w:val="nil"/>
              <w:bottom w:val="single" w:sz="4" w:space="0" w:color="auto"/>
              <w:right w:val="single" w:sz="4" w:space="0" w:color="auto"/>
            </w:tcBorders>
            <w:shd w:val="clear" w:color="auto" w:fill="auto"/>
            <w:noWrap/>
            <w:vAlign w:val="center"/>
            <w:hideMark/>
          </w:tcPr>
          <w:p w14:paraId="5C368D8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38.3%</w:t>
            </w:r>
          </w:p>
        </w:tc>
        <w:tc>
          <w:tcPr>
            <w:tcW w:w="350" w:type="pct"/>
            <w:tcBorders>
              <w:top w:val="nil"/>
              <w:left w:val="nil"/>
              <w:bottom w:val="single" w:sz="4" w:space="0" w:color="auto"/>
              <w:right w:val="single" w:sz="4" w:space="0" w:color="auto"/>
            </w:tcBorders>
            <w:shd w:val="clear" w:color="auto" w:fill="auto"/>
            <w:noWrap/>
            <w:vAlign w:val="center"/>
            <w:hideMark/>
          </w:tcPr>
          <w:p w14:paraId="33E0933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43.0%</w:t>
            </w:r>
          </w:p>
        </w:tc>
        <w:tc>
          <w:tcPr>
            <w:tcW w:w="350" w:type="pct"/>
            <w:tcBorders>
              <w:top w:val="nil"/>
              <w:left w:val="nil"/>
              <w:bottom w:val="single" w:sz="4" w:space="0" w:color="auto"/>
              <w:right w:val="single" w:sz="4" w:space="0" w:color="auto"/>
            </w:tcBorders>
            <w:shd w:val="clear" w:color="auto" w:fill="auto"/>
            <w:noWrap/>
            <w:vAlign w:val="center"/>
            <w:hideMark/>
          </w:tcPr>
          <w:p w14:paraId="497B912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47.8%</w:t>
            </w:r>
          </w:p>
        </w:tc>
        <w:tc>
          <w:tcPr>
            <w:tcW w:w="350" w:type="pct"/>
            <w:tcBorders>
              <w:top w:val="nil"/>
              <w:left w:val="nil"/>
              <w:bottom w:val="single" w:sz="4" w:space="0" w:color="auto"/>
              <w:right w:val="single" w:sz="4" w:space="0" w:color="auto"/>
            </w:tcBorders>
            <w:shd w:val="clear" w:color="auto" w:fill="auto"/>
            <w:noWrap/>
            <w:vAlign w:val="center"/>
            <w:hideMark/>
          </w:tcPr>
          <w:p w14:paraId="247C2A2F"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52.5%</w:t>
            </w:r>
          </w:p>
        </w:tc>
        <w:tc>
          <w:tcPr>
            <w:tcW w:w="350" w:type="pct"/>
            <w:tcBorders>
              <w:top w:val="nil"/>
              <w:left w:val="nil"/>
              <w:bottom w:val="single" w:sz="4" w:space="0" w:color="auto"/>
              <w:right w:val="single" w:sz="4" w:space="0" w:color="auto"/>
            </w:tcBorders>
            <w:shd w:val="clear" w:color="auto" w:fill="auto"/>
            <w:noWrap/>
            <w:vAlign w:val="center"/>
            <w:hideMark/>
          </w:tcPr>
          <w:p w14:paraId="4A6B1C93"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4.7%</w:t>
            </w:r>
          </w:p>
        </w:tc>
      </w:tr>
      <w:tr w:rsidR="00EF7EE3" w:rsidRPr="004C1108" w14:paraId="1CE8E6A1"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851C7B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Economically Disadvantaged</w:t>
            </w:r>
          </w:p>
        </w:tc>
        <w:tc>
          <w:tcPr>
            <w:tcW w:w="350" w:type="pct"/>
            <w:tcBorders>
              <w:top w:val="nil"/>
              <w:left w:val="nil"/>
              <w:bottom w:val="single" w:sz="4" w:space="0" w:color="auto"/>
              <w:right w:val="single" w:sz="4" w:space="0" w:color="auto"/>
            </w:tcBorders>
            <w:shd w:val="clear" w:color="auto" w:fill="auto"/>
            <w:noWrap/>
            <w:vAlign w:val="center"/>
            <w:hideMark/>
          </w:tcPr>
          <w:p w14:paraId="4466923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25.6%</w:t>
            </w:r>
          </w:p>
        </w:tc>
        <w:tc>
          <w:tcPr>
            <w:tcW w:w="350" w:type="pct"/>
            <w:tcBorders>
              <w:top w:val="nil"/>
              <w:left w:val="nil"/>
              <w:bottom w:val="single" w:sz="4" w:space="0" w:color="auto"/>
              <w:right w:val="single" w:sz="4" w:space="0" w:color="auto"/>
            </w:tcBorders>
            <w:shd w:val="clear" w:color="auto" w:fill="auto"/>
            <w:noWrap/>
            <w:vAlign w:val="center"/>
            <w:hideMark/>
          </w:tcPr>
          <w:p w14:paraId="2E0320D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29.3%</w:t>
            </w:r>
          </w:p>
        </w:tc>
        <w:tc>
          <w:tcPr>
            <w:tcW w:w="350" w:type="pct"/>
            <w:tcBorders>
              <w:top w:val="nil"/>
              <w:left w:val="nil"/>
              <w:bottom w:val="single" w:sz="4" w:space="0" w:color="auto"/>
              <w:right w:val="single" w:sz="4" w:space="0" w:color="auto"/>
            </w:tcBorders>
            <w:shd w:val="clear" w:color="auto" w:fill="auto"/>
            <w:noWrap/>
            <w:vAlign w:val="center"/>
            <w:hideMark/>
          </w:tcPr>
          <w:p w14:paraId="490EC28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33.0%</w:t>
            </w:r>
          </w:p>
        </w:tc>
        <w:tc>
          <w:tcPr>
            <w:tcW w:w="350" w:type="pct"/>
            <w:tcBorders>
              <w:top w:val="nil"/>
              <w:left w:val="nil"/>
              <w:bottom w:val="single" w:sz="4" w:space="0" w:color="auto"/>
              <w:right w:val="single" w:sz="4" w:space="0" w:color="auto"/>
            </w:tcBorders>
            <w:shd w:val="clear" w:color="auto" w:fill="auto"/>
            <w:noWrap/>
            <w:vAlign w:val="center"/>
            <w:hideMark/>
          </w:tcPr>
          <w:p w14:paraId="564A5FC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36.8%</w:t>
            </w:r>
          </w:p>
        </w:tc>
        <w:tc>
          <w:tcPr>
            <w:tcW w:w="350" w:type="pct"/>
            <w:tcBorders>
              <w:top w:val="nil"/>
              <w:left w:val="nil"/>
              <w:bottom w:val="single" w:sz="4" w:space="0" w:color="auto"/>
              <w:right w:val="single" w:sz="4" w:space="0" w:color="auto"/>
            </w:tcBorders>
            <w:shd w:val="clear" w:color="auto" w:fill="auto"/>
            <w:noWrap/>
            <w:vAlign w:val="center"/>
            <w:hideMark/>
          </w:tcPr>
          <w:p w14:paraId="7E495D3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40.5%</w:t>
            </w:r>
          </w:p>
        </w:tc>
        <w:tc>
          <w:tcPr>
            <w:tcW w:w="350" w:type="pct"/>
            <w:tcBorders>
              <w:top w:val="nil"/>
              <w:left w:val="nil"/>
              <w:bottom w:val="single" w:sz="4" w:space="0" w:color="auto"/>
              <w:right w:val="single" w:sz="4" w:space="0" w:color="auto"/>
            </w:tcBorders>
            <w:shd w:val="clear" w:color="auto" w:fill="auto"/>
            <w:noWrap/>
            <w:vAlign w:val="center"/>
            <w:hideMark/>
          </w:tcPr>
          <w:p w14:paraId="5F89CD7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44.2%</w:t>
            </w:r>
          </w:p>
        </w:tc>
        <w:tc>
          <w:tcPr>
            <w:tcW w:w="350" w:type="pct"/>
            <w:tcBorders>
              <w:top w:val="nil"/>
              <w:left w:val="nil"/>
              <w:bottom w:val="single" w:sz="4" w:space="0" w:color="auto"/>
              <w:right w:val="single" w:sz="4" w:space="0" w:color="auto"/>
            </w:tcBorders>
            <w:shd w:val="clear" w:color="auto" w:fill="auto"/>
            <w:noWrap/>
            <w:vAlign w:val="center"/>
            <w:hideMark/>
          </w:tcPr>
          <w:p w14:paraId="449D0B6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47.9%</w:t>
            </w:r>
          </w:p>
        </w:tc>
        <w:tc>
          <w:tcPr>
            <w:tcW w:w="350" w:type="pct"/>
            <w:tcBorders>
              <w:top w:val="nil"/>
              <w:left w:val="nil"/>
              <w:bottom w:val="single" w:sz="4" w:space="0" w:color="auto"/>
              <w:right w:val="single" w:sz="4" w:space="0" w:color="auto"/>
            </w:tcBorders>
            <w:shd w:val="clear" w:color="auto" w:fill="auto"/>
            <w:noWrap/>
            <w:vAlign w:val="center"/>
            <w:hideMark/>
          </w:tcPr>
          <w:p w14:paraId="57CB43D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51.6%</w:t>
            </w:r>
          </w:p>
        </w:tc>
        <w:tc>
          <w:tcPr>
            <w:tcW w:w="350" w:type="pct"/>
            <w:tcBorders>
              <w:top w:val="nil"/>
              <w:left w:val="nil"/>
              <w:bottom w:val="single" w:sz="4" w:space="0" w:color="auto"/>
              <w:right w:val="single" w:sz="4" w:space="0" w:color="auto"/>
            </w:tcBorders>
            <w:shd w:val="clear" w:color="auto" w:fill="auto"/>
            <w:noWrap/>
            <w:vAlign w:val="center"/>
            <w:hideMark/>
          </w:tcPr>
          <w:p w14:paraId="2BF6454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55.4%</w:t>
            </w:r>
          </w:p>
        </w:tc>
        <w:tc>
          <w:tcPr>
            <w:tcW w:w="350" w:type="pct"/>
            <w:tcBorders>
              <w:top w:val="nil"/>
              <w:left w:val="nil"/>
              <w:bottom w:val="single" w:sz="4" w:space="0" w:color="auto"/>
              <w:right w:val="single" w:sz="4" w:space="0" w:color="auto"/>
            </w:tcBorders>
            <w:shd w:val="clear" w:color="auto" w:fill="auto"/>
            <w:noWrap/>
            <w:vAlign w:val="center"/>
            <w:hideMark/>
          </w:tcPr>
          <w:p w14:paraId="21CC9B2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59.1%</w:t>
            </w:r>
          </w:p>
        </w:tc>
        <w:tc>
          <w:tcPr>
            <w:tcW w:w="350" w:type="pct"/>
            <w:tcBorders>
              <w:top w:val="nil"/>
              <w:left w:val="nil"/>
              <w:bottom w:val="single" w:sz="4" w:space="0" w:color="auto"/>
              <w:right w:val="single" w:sz="4" w:space="0" w:color="auto"/>
            </w:tcBorders>
            <w:shd w:val="clear" w:color="auto" w:fill="auto"/>
            <w:noWrap/>
            <w:vAlign w:val="center"/>
            <w:hideMark/>
          </w:tcPr>
          <w:p w14:paraId="4168B8ED"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62.8%</w:t>
            </w:r>
          </w:p>
        </w:tc>
        <w:tc>
          <w:tcPr>
            <w:tcW w:w="350" w:type="pct"/>
            <w:tcBorders>
              <w:top w:val="nil"/>
              <w:left w:val="nil"/>
              <w:bottom w:val="single" w:sz="4" w:space="0" w:color="auto"/>
              <w:right w:val="single" w:sz="4" w:space="0" w:color="auto"/>
            </w:tcBorders>
            <w:shd w:val="clear" w:color="auto" w:fill="auto"/>
            <w:noWrap/>
            <w:vAlign w:val="center"/>
            <w:hideMark/>
          </w:tcPr>
          <w:p w14:paraId="698B37CF"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3.7%</w:t>
            </w:r>
          </w:p>
        </w:tc>
      </w:tr>
    </w:tbl>
    <w:p w14:paraId="5787077C" w14:textId="35731F18" w:rsidR="009838D3" w:rsidRDefault="009838D3" w:rsidP="009838D3">
      <w:pPr>
        <w:rPr>
          <w:b/>
        </w:rPr>
      </w:pPr>
    </w:p>
    <w:tbl>
      <w:tblPr>
        <w:tblW w:w="5000" w:type="pct"/>
        <w:tblLook w:val="04A0" w:firstRow="1" w:lastRow="0" w:firstColumn="1" w:lastColumn="0" w:noHBand="0" w:noVBand="1"/>
      </w:tblPr>
      <w:tblGrid>
        <w:gridCol w:w="1967"/>
        <w:gridCol w:w="705"/>
        <w:gridCol w:w="585"/>
        <w:gridCol w:w="585"/>
        <w:gridCol w:w="585"/>
        <w:gridCol w:w="585"/>
        <w:gridCol w:w="585"/>
        <w:gridCol w:w="586"/>
        <w:gridCol w:w="586"/>
        <w:gridCol w:w="586"/>
        <w:gridCol w:w="593"/>
        <w:gridCol w:w="586"/>
        <w:gridCol w:w="816"/>
      </w:tblGrid>
      <w:tr w:rsidR="00EF7EE3" w:rsidRPr="004C1108" w14:paraId="5E726C5A" w14:textId="77777777" w:rsidTr="003556DD">
        <w:trPr>
          <w:trHeight w:val="600"/>
        </w:trPr>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4324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Mathematics:</w:t>
            </w:r>
            <w:r w:rsidRPr="005E58F6">
              <w:rPr>
                <w:rFonts w:ascii="Calibri" w:eastAsia="Times New Roman" w:hAnsi="Calibri" w:cs="Times New Roman"/>
                <w:color w:val="000000"/>
                <w:sz w:val="14"/>
              </w:rPr>
              <w:br/>
              <w:t>Grades 3-8 FAY students only</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9F6E9"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Baseline</w:t>
            </w:r>
          </w:p>
        </w:tc>
        <w:tc>
          <w:tcPr>
            <w:tcW w:w="3154" w:type="pct"/>
            <w:gridSpan w:val="9"/>
            <w:tcBorders>
              <w:top w:val="single" w:sz="4" w:space="0" w:color="auto"/>
              <w:left w:val="nil"/>
              <w:bottom w:val="single" w:sz="4" w:space="0" w:color="auto"/>
              <w:right w:val="single" w:sz="4" w:space="0" w:color="auto"/>
            </w:tcBorders>
            <w:shd w:val="clear" w:color="auto" w:fill="auto"/>
            <w:vAlign w:val="center"/>
            <w:hideMark/>
          </w:tcPr>
          <w:p w14:paraId="64E1FAB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Measures of Interim Progress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4C5B6564"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Long-Term Goal</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D884A"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Annual Increment Needed</w:t>
            </w:r>
          </w:p>
        </w:tc>
      </w:tr>
      <w:tr w:rsidR="00EF7EE3" w:rsidRPr="004C1108" w14:paraId="2453D74D"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6B3A0FE" w14:textId="77777777" w:rsidR="00EF7EE3" w:rsidRPr="005E58F6" w:rsidRDefault="00EF7EE3" w:rsidP="003556DD">
            <w:pPr>
              <w:spacing w:after="0" w:line="240" w:lineRule="auto"/>
              <w:rPr>
                <w:rFonts w:ascii="Calibri" w:eastAsia="Times New Roman" w:hAnsi="Calibri" w:cs="Times New Roman"/>
                <w:color w:val="000000"/>
                <w:sz w:val="14"/>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4342A7C" w14:textId="77777777" w:rsidR="00EF7EE3" w:rsidRPr="005E58F6" w:rsidRDefault="00EF7EE3" w:rsidP="003556DD">
            <w:pPr>
              <w:spacing w:after="0" w:line="240" w:lineRule="auto"/>
              <w:rPr>
                <w:rFonts w:ascii="Calibri" w:eastAsia="Times New Roman" w:hAnsi="Calibri" w:cs="Times New Roman"/>
                <w:b/>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304E945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1</w:t>
            </w:r>
          </w:p>
        </w:tc>
        <w:tc>
          <w:tcPr>
            <w:tcW w:w="350" w:type="pct"/>
            <w:tcBorders>
              <w:top w:val="nil"/>
              <w:left w:val="nil"/>
              <w:bottom w:val="single" w:sz="4" w:space="0" w:color="auto"/>
              <w:right w:val="single" w:sz="4" w:space="0" w:color="auto"/>
            </w:tcBorders>
            <w:shd w:val="clear" w:color="auto" w:fill="auto"/>
            <w:vAlign w:val="center"/>
            <w:hideMark/>
          </w:tcPr>
          <w:p w14:paraId="519D976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2</w:t>
            </w:r>
          </w:p>
        </w:tc>
        <w:tc>
          <w:tcPr>
            <w:tcW w:w="350" w:type="pct"/>
            <w:tcBorders>
              <w:top w:val="nil"/>
              <w:left w:val="nil"/>
              <w:bottom w:val="single" w:sz="4" w:space="0" w:color="auto"/>
              <w:right w:val="single" w:sz="4" w:space="0" w:color="auto"/>
            </w:tcBorders>
            <w:shd w:val="clear" w:color="auto" w:fill="auto"/>
            <w:vAlign w:val="center"/>
            <w:hideMark/>
          </w:tcPr>
          <w:p w14:paraId="25C66DC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3</w:t>
            </w:r>
          </w:p>
        </w:tc>
        <w:tc>
          <w:tcPr>
            <w:tcW w:w="350" w:type="pct"/>
            <w:tcBorders>
              <w:top w:val="nil"/>
              <w:left w:val="nil"/>
              <w:bottom w:val="single" w:sz="4" w:space="0" w:color="auto"/>
              <w:right w:val="single" w:sz="4" w:space="0" w:color="auto"/>
            </w:tcBorders>
            <w:shd w:val="clear" w:color="auto" w:fill="auto"/>
            <w:vAlign w:val="center"/>
            <w:hideMark/>
          </w:tcPr>
          <w:p w14:paraId="486DAAC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4</w:t>
            </w:r>
          </w:p>
        </w:tc>
        <w:tc>
          <w:tcPr>
            <w:tcW w:w="350" w:type="pct"/>
            <w:tcBorders>
              <w:top w:val="nil"/>
              <w:left w:val="nil"/>
              <w:bottom w:val="single" w:sz="4" w:space="0" w:color="auto"/>
              <w:right w:val="single" w:sz="4" w:space="0" w:color="auto"/>
            </w:tcBorders>
            <w:shd w:val="clear" w:color="auto" w:fill="auto"/>
            <w:vAlign w:val="center"/>
            <w:hideMark/>
          </w:tcPr>
          <w:p w14:paraId="323D857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5</w:t>
            </w:r>
          </w:p>
        </w:tc>
        <w:tc>
          <w:tcPr>
            <w:tcW w:w="350" w:type="pct"/>
            <w:tcBorders>
              <w:top w:val="nil"/>
              <w:left w:val="nil"/>
              <w:bottom w:val="single" w:sz="4" w:space="0" w:color="auto"/>
              <w:right w:val="single" w:sz="4" w:space="0" w:color="auto"/>
            </w:tcBorders>
            <w:shd w:val="clear" w:color="auto" w:fill="auto"/>
            <w:vAlign w:val="center"/>
            <w:hideMark/>
          </w:tcPr>
          <w:p w14:paraId="7D34D7C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6</w:t>
            </w:r>
          </w:p>
        </w:tc>
        <w:tc>
          <w:tcPr>
            <w:tcW w:w="350" w:type="pct"/>
            <w:tcBorders>
              <w:top w:val="nil"/>
              <w:left w:val="nil"/>
              <w:bottom w:val="single" w:sz="4" w:space="0" w:color="auto"/>
              <w:right w:val="single" w:sz="4" w:space="0" w:color="auto"/>
            </w:tcBorders>
            <w:shd w:val="clear" w:color="auto" w:fill="auto"/>
            <w:vAlign w:val="center"/>
            <w:hideMark/>
          </w:tcPr>
          <w:p w14:paraId="6F47C39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7</w:t>
            </w:r>
          </w:p>
        </w:tc>
        <w:tc>
          <w:tcPr>
            <w:tcW w:w="350" w:type="pct"/>
            <w:tcBorders>
              <w:top w:val="nil"/>
              <w:left w:val="nil"/>
              <w:bottom w:val="single" w:sz="4" w:space="0" w:color="auto"/>
              <w:right w:val="single" w:sz="4" w:space="0" w:color="auto"/>
            </w:tcBorders>
            <w:shd w:val="clear" w:color="auto" w:fill="auto"/>
            <w:vAlign w:val="center"/>
            <w:hideMark/>
          </w:tcPr>
          <w:p w14:paraId="2F26615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8</w:t>
            </w:r>
          </w:p>
        </w:tc>
        <w:tc>
          <w:tcPr>
            <w:tcW w:w="350" w:type="pct"/>
            <w:tcBorders>
              <w:top w:val="nil"/>
              <w:left w:val="nil"/>
              <w:bottom w:val="single" w:sz="4" w:space="0" w:color="auto"/>
              <w:right w:val="single" w:sz="4" w:space="0" w:color="auto"/>
            </w:tcBorders>
            <w:shd w:val="clear" w:color="auto" w:fill="auto"/>
            <w:vAlign w:val="center"/>
            <w:hideMark/>
          </w:tcPr>
          <w:p w14:paraId="6E708A4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9</w:t>
            </w:r>
          </w:p>
        </w:tc>
        <w:tc>
          <w:tcPr>
            <w:tcW w:w="350" w:type="pct"/>
            <w:tcBorders>
              <w:top w:val="nil"/>
              <w:left w:val="nil"/>
              <w:bottom w:val="single" w:sz="4" w:space="0" w:color="auto"/>
              <w:right w:val="single" w:sz="4" w:space="0" w:color="auto"/>
            </w:tcBorders>
            <w:shd w:val="clear" w:color="auto" w:fill="auto"/>
            <w:vAlign w:val="center"/>
            <w:hideMark/>
          </w:tcPr>
          <w:p w14:paraId="6E760A41"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Year 10</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17443A5" w14:textId="77777777" w:rsidR="00EF7EE3" w:rsidRPr="005E58F6" w:rsidRDefault="00EF7EE3" w:rsidP="003556DD">
            <w:pPr>
              <w:spacing w:after="0" w:line="240" w:lineRule="auto"/>
              <w:rPr>
                <w:rFonts w:ascii="Calibri" w:eastAsia="Times New Roman" w:hAnsi="Calibri" w:cs="Times New Roman"/>
                <w:b/>
                <w:color w:val="FF0000"/>
                <w:sz w:val="14"/>
              </w:rPr>
            </w:pPr>
          </w:p>
        </w:tc>
      </w:tr>
      <w:tr w:rsidR="00EF7EE3" w:rsidRPr="004C1108" w14:paraId="418D75DD"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3F776DF4" w14:textId="77777777" w:rsidR="00EF7EE3" w:rsidRPr="005E58F6" w:rsidRDefault="00EF7EE3" w:rsidP="003556DD">
            <w:pPr>
              <w:spacing w:after="0" w:line="240" w:lineRule="auto"/>
              <w:rPr>
                <w:rFonts w:ascii="Calibri" w:eastAsia="Times New Roman" w:hAnsi="Calibri" w:cs="Times New Roman"/>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63C20055"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2016-2017</w:t>
            </w:r>
          </w:p>
        </w:tc>
        <w:tc>
          <w:tcPr>
            <w:tcW w:w="350" w:type="pct"/>
            <w:tcBorders>
              <w:top w:val="nil"/>
              <w:left w:val="nil"/>
              <w:bottom w:val="single" w:sz="4" w:space="0" w:color="auto"/>
              <w:right w:val="single" w:sz="4" w:space="0" w:color="auto"/>
            </w:tcBorders>
            <w:shd w:val="clear" w:color="auto" w:fill="auto"/>
            <w:vAlign w:val="center"/>
            <w:hideMark/>
          </w:tcPr>
          <w:p w14:paraId="24939CC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2017-2018</w:t>
            </w:r>
          </w:p>
        </w:tc>
        <w:tc>
          <w:tcPr>
            <w:tcW w:w="350" w:type="pct"/>
            <w:tcBorders>
              <w:top w:val="nil"/>
              <w:left w:val="nil"/>
              <w:bottom w:val="single" w:sz="4" w:space="0" w:color="auto"/>
              <w:right w:val="single" w:sz="4" w:space="0" w:color="auto"/>
            </w:tcBorders>
            <w:shd w:val="clear" w:color="auto" w:fill="auto"/>
            <w:vAlign w:val="center"/>
            <w:hideMark/>
          </w:tcPr>
          <w:p w14:paraId="4DF2B80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2018-2019</w:t>
            </w:r>
          </w:p>
        </w:tc>
        <w:tc>
          <w:tcPr>
            <w:tcW w:w="350" w:type="pct"/>
            <w:tcBorders>
              <w:top w:val="nil"/>
              <w:left w:val="nil"/>
              <w:bottom w:val="single" w:sz="4" w:space="0" w:color="auto"/>
              <w:right w:val="single" w:sz="4" w:space="0" w:color="auto"/>
            </w:tcBorders>
            <w:shd w:val="clear" w:color="auto" w:fill="auto"/>
            <w:vAlign w:val="center"/>
            <w:hideMark/>
          </w:tcPr>
          <w:p w14:paraId="738B3C7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2019-2020</w:t>
            </w:r>
          </w:p>
        </w:tc>
        <w:tc>
          <w:tcPr>
            <w:tcW w:w="350" w:type="pct"/>
            <w:tcBorders>
              <w:top w:val="nil"/>
              <w:left w:val="nil"/>
              <w:bottom w:val="single" w:sz="4" w:space="0" w:color="auto"/>
              <w:right w:val="single" w:sz="4" w:space="0" w:color="auto"/>
            </w:tcBorders>
            <w:shd w:val="clear" w:color="auto" w:fill="auto"/>
            <w:vAlign w:val="center"/>
            <w:hideMark/>
          </w:tcPr>
          <w:p w14:paraId="3F9C4D9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2020-2021</w:t>
            </w:r>
          </w:p>
        </w:tc>
        <w:tc>
          <w:tcPr>
            <w:tcW w:w="350" w:type="pct"/>
            <w:tcBorders>
              <w:top w:val="nil"/>
              <w:left w:val="nil"/>
              <w:bottom w:val="single" w:sz="4" w:space="0" w:color="auto"/>
              <w:right w:val="single" w:sz="4" w:space="0" w:color="auto"/>
            </w:tcBorders>
            <w:shd w:val="clear" w:color="auto" w:fill="auto"/>
            <w:vAlign w:val="center"/>
            <w:hideMark/>
          </w:tcPr>
          <w:p w14:paraId="6A5A87E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2021-2022</w:t>
            </w:r>
          </w:p>
        </w:tc>
        <w:tc>
          <w:tcPr>
            <w:tcW w:w="350" w:type="pct"/>
            <w:tcBorders>
              <w:top w:val="nil"/>
              <w:left w:val="nil"/>
              <w:bottom w:val="single" w:sz="4" w:space="0" w:color="auto"/>
              <w:right w:val="single" w:sz="4" w:space="0" w:color="auto"/>
            </w:tcBorders>
            <w:shd w:val="clear" w:color="auto" w:fill="auto"/>
            <w:vAlign w:val="center"/>
            <w:hideMark/>
          </w:tcPr>
          <w:p w14:paraId="2E1BA8A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2022-2023</w:t>
            </w:r>
          </w:p>
        </w:tc>
        <w:tc>
          <w:tcPr>
            <w:tcW w:w="350" w:type="pct"/>
            <w:tcBorders>
              <w:top w:val="nil"/>
              <w:left w:val="nil"/>
              <w:bottom w:val="single" w:sz="4" w:space="0" w:color="auto"/>
              <w:right w:val="single" w:sz="4" w:space="0" w:color="auto"/>
            </w:tcBorders>
            <w:shd w:val="clear" w:color="auto" w:fill="auto"/>
            <w:vAlign w:val="center"/>
            <w:hideMark/>
          </w:tcPr>
          <w:p w14:paraId="7621769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2023-2024</w:t>
            </w:r>
          </w:p>
        </w:tc>
        <w:tc>
          <w:tcPr>
            <w:tcW w:w="350" w:type="pct"/>
            <w:tcBorders>
              <w:top w:val="nil"/>
              <w:left w:val="nil"/>
              <w:bottom w:val="single" w:sz="4" w:space="0" w:color="auto"/>
              <w:right w:val="single" w:sz="4" w:space="0" w:color="auto"/>
            </w:tcBorders>
            <w:shd w:val="clear" w:color="auto" w:fill="auto"/>
            <w:vAlign w:val="center"/>
            <w:hideMark/>
          </w:tcPr>
          <w:p w14:paraId="7CD0597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2024-2025</w:t>
            </w:r>
          </w:p>
        </w:tc>
        <w:tc>
          <w:tcPr>
            <w:tcW w:w="350" w:type="pct"/>
            <w:tcBorders>
              <w:top w:val="nil"/>
              <w:left w:val="nil"/>
              <w:bottom w:val="single" w:sz="4" w:space="0" w:color="auto"/>
              <w:right w:val="single" w:sz="4" w:space="0" w:color="auto"/>
            </w:tcBorders>
            <w:shd w:val="clear" w:color="auto" w:fill="auto"/>
            <w:vAlign w:val="center"/>
            <w:hideMark/>
          </w:tcPr>
          <w:p w14:paraId="60055B4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2025-2026</w:t>
            </w:r>
          </w:p>
        </w:tc>
        <w:tc>
          <w:tcPr>
            <w:tcW w:w="350" w:type="pct"/>
            <w:tcBorders>
              <w:top w:val="nil"/>
              <w:left w:val="nil"/>
              <w:bottom w:val="single" w:sz="4" w:space="0" w:color="auto"/>
              <w:right w:val="single" w:sz="4" w:space="0" w:color="auto"/>
            </w:tcBorders>
            <w:shd w:val="clear" w:color="auto" w:fill="auto"/>
            <w:vAlign w:val="center"/>
            <w:hideMark/>
          </w:tcPr>
          <w:p w14:paraId="488BE1C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2026-2027</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960619C" w14:textId="77777777" w:rsidR="00EF7EE3" w:rsidRPr="005E58F6" w:rsidRDefault="00EF7EE3" w:rsidP="003556DD">
            <w:pPr>
              <w:spacing w:after="0" w:line="240" w:lineRule="auto"/>
              <w:rPr>
                <w:rFonts w:ascii="Calibri" w:eastAsia="Times New Roman" w:hAnsi="Calibri" w:cs="Times New Roman"/>
                <w:b/>
                <w:color w:val="FF0000"/>
                <w:sz w:val="14"/>
              </w:rPr>
            </w:pPr>
          </w:p>
        </w:tc>
      </w:tr>
      <w:tr w:rsidR="00EF7EE3" w:rsidRPr="004C1108" w14:paraId="662F3965"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AEF711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All students</w:t>
            </w:r>
          </w:p>
        </w:tc>
        <w:tc>
          <w:tcPr>
            <w:tcW w:w="350" w:type="pct"/>
            <w:tcBorders>
              <w:top w:val="nil"/>
              <w:left w:val="nil"/>
              <w:bottom w:val="single" w:sz="4" w:space="0" w:color="auto"/>
              <w:right w:val="single" w:sz="4" w:space="0" w:color="auto"/>
            </w:tcBorders>
            <w:shd w:val="clear" w:color="auto" w:fill="auto"/>
            <w:noWrap/>
            <w:vAlign w:val="center"/>
            <w:hideMark/>
          </w:tcPr>
          <w:p w14:paraId="7ED30022"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35.4%</w:t>
            </w:r>
          </w:p>
        </w:tc>
        <w:tc>
          <w:tcPr>
            <w:tcW w:w="350" w:type="pct"/>
            <w:tcBorders>
              <w:top w:val="nil"/>
              <w:left w:val="nil"/>
              <w:bottom w:val="single" w:sz="4" w:space="0" w:color="auto"/>
              <w:right w:val="single" w:sz="4" w:space="0" w:color="auto"/>
            </w:tcBorders>
            <w:shd w:val="clear" w:color="auto" w:fill="auto"/>
            <w:noWrap/>
            <w:vAlign w:val="center"/>
            <w:hideMark/>
          </w:tcPr>
          <w:p w14:paraId="7FB904C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38.7%</w:t>
            </w:r>
          </w:p>
        </w:tc>
        <w:tc>
          <w:tcPr>
            <w:tcW w:w="350" w:type="pct"/>
            <w:tcBorders>
              <w:top w:val="nil"/>
              <w:left w:val="nil"/>
              <w:bottom w:val="single" w:sz="4" w:space="0" w:color="auto"/>
              <w:right w:val="single" w:sz="4" w:space="0" w:color="auto"/>
            </w:tcBorders>
            <w:shd w:val="clear" w:color="auto" w:fill="auto"/>
            <w:noWrap/>
            <w:vAlign w:val="center"/>
            <w:hideMark/>
          </w:tcPr>
          <w:p w14:paraId="77F8F37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41.9%</w:t>
            </w:r>
          </w:p>
        </w:tc>
        <w:tc>
          <w:tcPr>
            <w:tcW w:w="350" w:type="pct"/>
            <w:tcBorders>
              <w:top w:val="nil"/>
              <w:left w:val="nil"/>
              <w:bottom w:val="single" w:sz="4" w:space="0" w:color="auto"/>
              <w:right w:val="single" w:sz="4" w:space="0" w:color="auto"/>
            </w:tcBorders>
            <w:shd w:val="clear" w:color="auto" w:fill="auto"/>
            <w:noWrap/>
            <w:vAlign w:val="center"/>
            <w:hideMark/>
          </w:tcPr>
          <w:p w14:paraId="24A1572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45.1%</w:t>
            </w:r>
          </w:p>
        </w:tc>
        <w:tc>
          <w:tcPr>
            <w:tcW w:w="350" w:type="pct"/>
            <w:tcBorders>
              <w:top w:val="nil"/>
              <w:left w:val="nil"/>
              <w:bottom w:val="single" w:sz="4" w:space="0" w:color="auto"/>
              <w:right w:val="single" w:sz="4" w:space="0" w:color="auto"/>
            </w:tcBorders>
            <w:shd w:val="clear" w:color="auto" w:fill="auto"/>
            <w:noWrap/>
            <w:vAlign w:val="center"/>
            <w:hideMark/>
          </w:tcPr>
          <w:p w14:paraId="5C9A3AA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48.4%</w:t>
            </w:r>
          </w:p>
        </w:tc>
        <w:tc>
          <w:tcPr>
            <w:tcW w:w="350" w:type="pct"/>
            <w:tcBorders>
              <w:top w:val="nil"/>
              <w:left w:val="nil"/>
              <w:bottom w:val="single" w:sz="4" w:space="0" w:color="auto"/>
              <w:right w:val="single" w:sz="4" w:space="0" w:color="auto"/>
            </w:tcBorders>
            <w:shd w:val="clear" w:color="auto" w:fill="auto"/>
            <w:noWrap/>
            <w:vAlign w:val="center"/>
            <w:hideMark/>
          </w:tcPr>
          <w:p w14:paraId="23C9FD2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51.6%</w:t>
            </w:r>
          </w:p>
        </w:tc>
        <w:tc>
          <w:tcPr>
            <w:tcW w:w="350" w:type="pct"/>
            <w:tcBorders>
              <w:top w:val="nil"/>
              <w:left w:val="nil"/>
              <w:bottom w:val="single" w:sz="4" w:space="0" w:color="auto"/>
              <w:right w:val="single" w:sz="4" w:space="0" w:color="auto"/>
            </w:tcBorders>
            <w:shd w:val="clear" w:color="auto" w:fill="auto"/>
            <w:noWrap/>
            <w:vAlign w:val="center"/>
            <w:hideMark/>
          </w:tcPr>
          <w:p w14:paraId="17028AA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54.8%</w:t>
            </w:r>
          </w:p>
        </w:tc>
        <w:tc>
          <w:tcPr>
            <w:tcW w:w="350" w:type="pct"/>
            <w:tcBorders>
              <w:top w:val="nil"/>
              <w:left w:val="nil"/>
              <w:bottom w:val="single" w:sz="4" w:space="0" w:color="auto"/>
              <w:right w:val="single" w:sz="4" w:space="0" w:color="auto"/>
            </w:tcBorders>
            <w:shd w:val="clear" w:color="auto" w:fill="auto"/>
            <w:noWrap/>
            <w:vAlign w:val="center"/>
            <w:hideMark/>
          </w:tcPr>
          <w:p w14:paraId="578D0FD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58.0%</w:t>
            </w:r>
          </w:p>
        </w:tc>
        <w:tc>
          <w:tcPr>
            <w:tcW w:w="350" w:type="pct"/>
            <w:tcBorders>
              <w:top w:val="nil"/>
              <w:left w:val="nil"/>
              <w:bottom w:val="single" w:sz="4" w:space="0" w:color="auto"/>
              <w:right w:val="single" w:sz="4" w:space="0" w:color="auto"/>
            </w:tcBorders>
            <w:shd w:val="clear" w:color="auto" w:fill="auto"/>
            <w:noWrap/>
            <w:vAlign w:val="center"/>
            <w:hideMark/>
          </w:tcPr>
          <w:p w14:paraId="59A489C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61.3%</w:t>
            </w:r>
          </w:p>
        </w:tc>
        <w:tc>
          <w:tcPr>
            <w:tcW w:w="350" w:type="pct"/>
            <w:tcBorders>
              <w:top w:val="nil"/>
              <w:left w:val="nil"/>
              <w:bottom w:val="single" w:sz="4" w:space="0" w:color="auto"/>
              <w:right w:val="single" w:sz="4" w:space="0" w:color="auto"/>
            </w:tcBorders>
            <w:shd w:val="clear" w:color="auto" w:fill="auto"/>
            <w:noWrap/>
            <w:vAlign w:val="center"/>
            <w:hideMark/>
          </w:tcPr>
          <w:p w14:paraId="1846BB1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64.5%</w:t>
            </w:r>
          </w:p>
        </w:tc>
        <w:tc>
          <w:tcPr>
            <w:tcW w:w="350" w:type="pct"/>
            <w:tcBorders>
              <w:top w:val="nil"/>
              <w:left w:val="nil"/>
              <w:bottom w:val="single" w:sz="4" w:space="0" w:color="auto"/>
              <w:right w:val="single" w:sz="4" w:space="0" w:color="auto"/>
            </w:tcBorders>
            <w:shd w:val="clear" w:color="auto" w:fill="auto"/>
            <w:noWrap/>
            <w:vAlign w:val="center"/>
            <w:hideMark/>
          </w:tcPr>
          <w:p w14:paraId="6C841760"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67.7%</w:t>
            </w:r>
          </w:p>
        </w:tc>
        <w:tc>
          <w:tcPr>
            <w:tcW w:w="350" w:type="pct"/>
            <w:tcBorders>
              <w:top w:val="nil"/>
              <w:left w:val="nil"/>
              <w:bottom w:val="single" w:sz="4" w:space="0" w:color="auto"/>
              <w:right w:val="single" w:sz="4" w:space="0" w:color="auto"/>
            </w:tcBorders>
            <w:shd w:val="clear" w:color="auto" w:fill="auto"/>
            <w:noWrap/>
            <w:vAlign w:val="center"/>
            <w:hideMark/>
          </w:tcPr>
          <w:p w14:paraId="2281BCA8"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3.2%</w:t>
            </w:r>
          </w:p>
        </w:tc>
      </w:tr>
      <w:tr w:rsidR="00EF7EE3" w:rsidRPr="004C1108" w14:paraId="7A10786E"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3CB9B2A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African American</w:t>
            </w:r>
          </w:p>
        </w:tc>
        <w:tc>
          <w:tcPr>
            <w:tcW w:w="350" w:type="pct"/>
            <w:tcBorders>
              <w:top w:val="nil"/>
              <w:left w:val="nil"/>
              <w:bottom w:val="single" w:sz="4" w:space="0" w:color="auto"/>
              <w:right w:val="single" w:sz="4" w:space="0" w:color="auto"/>
            </w:tcBorders>
            <w:shd w:val="clear" w:color="auto" w:fill="auto"/>
            <w:noWrap/>
            <w:vAlign w:val="center"/>
            <w:hideMark/>
          </w:tcPr>
          <w:p w14:paraId="3B079E24"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19.5%</w:t>
            </w:r>
          </w:p>
        </w:tc>
        <w:tc>
          <w:tcPr>
            <w:tcW w:w="350" w:type="pct"/>
            <w:tcBorders>
              <w:top w:val="nil"/>
              <w:left w:val="nil"/>
              <w:bottom w:val="single" w:sz="4" w:space="0" w:color="auto"/>
              <w:right w:val="single" w:sz="4" w:space="0" w:color="auto"/>
            </w:tcBorders>
            <w:shd w:val="clear" w:color="auto" w:fill="auto"/>
            <w:noWrap/>
            <w:vAlign w:val="center"/>
            <w:hideMark/>
          </w:tcPr>
          <w:p w14:paraId="2E4A8D0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23.5%</w:t>
            </w:r>
          </w:p>
        </w:tc>
        <w:tc>
          <w:tcPr>
            <w:tcW w:w="350" w:type="pct"/>
            <w:tcBorders>
              <w:top w:val="nil"/>
              <w:left w:val="nil"/>
              <w:bottom w:val="single" w:sz="4" w:space="0" w:color="auto"/>
              <w:right w:val="single" w:sz="4" w:space="0" w:color="auto"/>
            </w:tcBorders>
            <w:shd w:val="clear" w:color="auto" w:fill="auto"/>
            <w:noWrap/>
            <w:vAlign w:val="center"/>
            <w:hideMark/>
          </w:tcPr>
          <w:p w14:paraId="7D10A64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27.6%</w:t>
            </w:r>
          </w:p>
        </w:tc>
        <w:tc>
          <w:tcPr>
            <w:tcW w:w="350" w:type="pct"/>
            <w:tcBorders>
              <w:top w:val="nil"/>
              <w:left w:val="nil"/>
              <w:bottom w:val="single" w:sz="4" w:space="0" w:color="auto"/>
              <w:right w:val="single" w:sz="4" w:space="0" w:color="auto"/>
            </w:tcBorders>
            <w:shd w:val="clear" w:color="auto" w:fill="auto"/>
            <w:noWrap/>
            <w:vAlign w:val="center"/>
            <w:hideMark/>
          </w:tcPr>
          <w:p w14:paraId="02C8954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31.6%</w:t>
            </w:r>
          </w:p>
        </w:tc>
        <w:tc>
          <w:tcPr>
            <w:tcW w:w="350" w:type="pct"/>
            <w:tcBorders>
              <w:top w:val="nil"/>
              <w:left w:val="nil"/>
              <w:bottom w:val="single" w:sz="4" w:space="0" w:color="auto"/>
              <w:right w:val="single" w:sz="4" w:space="0" w:color="auto"/>
            </w:tcBorders>
            <w:shd w:val="clear" w:color="auto" w:fill="auto"/>
            <w:noWrap/>
            <w:vAlign w:val="center"/>
            <w:hideMark/>
          </w:tcPr>
          <w:p w14:paraId="64131BA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35.6%</w:t>
            </w:r>
          </w:p>
        </w:tc>
        <w:tc>
          <w:tcPr>
            <w:tcW w:w="350" w:type="pct"/>
            <w:tcBorders>
              <w:top w:val="nil"/>
              <w:left w:val="nil"/>
              <w:bottom w:val="single" w:sz="4" w:space="0" w:color="auto"/>
              <w:right w:val="single" w:sz="4" w:space="0" w:color="auto"/>
            </w:tcBorders>
            <w:shd w:val="clear" w:color="auto" w:fill="auto"/>
            <w:noWrap/>
            <w:vAlign w:val="center"/>
            <w:hideMark/>
          </w:tcPr>
          <w:p w14:paraId="4C18E09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39.6%</w:t>
            </w:r>
          </w:p>
        </w:tc>
        <w:tc>
          <w:tcPr>
            <w:tcW w:w="350" w:type="pct"/>
            <w:tcBorders>
              <w:top w:val="nil"/>
              <w:left w:val="nil"/>
              <w:bottom w:val="single" w:sz="4" w:space="0" w:color="auto"/>
              <w:right w:val="single" w:sz="4" w:space="0" w:color="auto"/>
            </w:tcBorders>
            <w:shd w:val="clear" w:color="auto" w:fill="auto"/>
            <w:noWrap/>
            <w:vAlign w:val="center"/>
            <w:hideMark/>
          </w:tcPr>
          <w:p w14:paraId="716CC23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43.7%</w:t>
            </w:r>
          </w:p>
        </w:tc>
        <w:tc>
          <w:tcPr>
            <w:tcW w:w="350" w:type="pct"/>
            <w:tcBorders>
              <w:top w:val="nil"/>
              <w:left w:val="nil"/>
              <w:bottom w:val="single" w:sz="4" w:space="0" w:color="auto"/>
              <w:right w:val="single" w:sz="4" w:space="0" w:color="auto"/>
            </w:tcBorders>
            <w:shd w:val="clear" w:color="auto" w:fill="auto"/>
            <w:noWrap/>
            <w:vAlign w:val="center"/>
            <w:hideMark/>
          </w:tcPr>
          <w:p w14:paraId="7462BA9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47.7%</w:t>
            </w:r>
          </w:p>
        </w:tc>
        <w:tc>
          <w:tcPr>
            <w:tcW w:w="350" w:type="pct"/>
            <w:tcBorders>
              <w:top w:val="nil"/>
              <w:left w:val="nil"/>
              <w:bottom w:val="single" w:sz="4" w:space="0" w:color="auto"/>
              <w:right w:val="single" w:sz="4" w:space="0" w:color="auto"/>
            </w:tcBorders>
            <w:shd w:val="clear" w:color="auto" w:fill="auto"/>
            <w:noWrap/>
            <w:vAlign w:val="center"/>
            <w:hideMark/>
          </w:tcPr>
          <w:p w14:paraId="0A9E6A7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51.7%</w:t>
            </w:r>
          </w:p>
        </w:tc>
        <w:tc>
          <w:tcPr>
            <w:tcW w:w="350" w:type="pct"/>
            <w:tcBorders>
              <w:top w:val="nil"/>
              <w:left w:val="nil"/>
              <w:bottom w:val="single" w:sz="4" w:space="0" w:color="auto"/>
              <w:right w:val="single" w:sz="4" w:space="0" w:color="auto"/>
            </w:tcBorders>
            <w:shd w:val="clear" w:color="auto" w:fill="auto"/>
            <w:noWrap/>
            <w:vAlign w:val="center"/>
            <w:hideMark/>
          </w:tcPr>
          <w:p w14:paraId="7A66FEB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55.7%</w:t>
            </w:r>
          </w:p>
        </w:tc>
        <w:tc>
          <w:tcPr>
            <w:tcW w:w="350" w:type="pct"/>
            <w:tcBorders>
              <w:top w:val="nil"/>
              <w:left w:val="nil"/>
              <w:bottom w:val="single" w:sz="4" w:space="0" w:color="auto"/>
              <w:right w:val="single" w:sz="4" w:space="0" w:color="auto"/>
            </w:tcBorders>
            <w:shd w:val="clear" w:color="auto" w:fill="auto"/>
            <w:noWrap/>
            <w:vAlign w:val="center"/>
            <w:hideMark/>
          </w:tcPr>
          <w:p w14:paraId="5C46A81E"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59.8%</w:t>
            </w:r>
          </w:p>
        </w:tc>
        <w:tc>
          <w:tcPr>
            <w:tcW w:w="350" w:type="pct"/>
            <w:tcBorders>
              <w:top w:val="nil"/>
              <w:left w:val="nil"/>
              <w:bottom w:val="single" w:sz="4" w:space="0" w:color="auto"/>
              <w:right w:val="single" w:sz="4" w:space="0" w:color="auto"/>
            </w:tcBorders>
            <w:shd w:val="clear" w:color="auto" w:fill="auto"/>
            <w:noWrap/>
            <w:vAlign w:val="center"/>
            <w:hideMark/>
          </w:tcPr>
          <w:p w14:paraId="1DAC67A2"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4.0%</w:t>
            </w:r>
          </w:p>
        </w:tc>
      </w:tr>
      <w:tr w:rsidR="00EF7EE3" w:rsidRPr="004C1108" w14:paraId="528D4398"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4E9183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Alaska Native/American Indian</w:t>
            </w:r>
          </w:p>
        </w:tc>
        <w:tc>
          <w:tcPr>
            <w:tcW w:w="350" w:type="pct"/>
            <w:tcBorders>
              <w:top w:val="nil"/>
              <w:left w:val="nil"/>
              <w:bottom w:val="single" w:sz="4" w:space="0" w:color="auto"/>
              <w:right w:val="single" w:sz="4" w:space="0" w:color="auto"/>
            </w:tcBorders>
            <w:shd w:val="clear" w:color="auto" w:fill="auto"/>
            <w:noWrap/>
            <w:vAlign w:val="center"/>
            <w:hideMark/>
          </w:tcPr>
          <w:p w14:paraId="5D529A05"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15.8%</w:t>
            </w:r>
          </w:p>
        </w:tc>
        <w:tc>
          <w:tcPr>
            <w:tcW w:w="350" w:type="pct"/>
            <w:tcBorders>
              <w:top w:val="nil"/>
              <w:left w:val="nil"/>
              <w:bottom w:val="single" w:sz="4" w:space="0" w:color="auto"/>
              <w:right w:val="single" w:sz="4" w:space="0" w:color="auto"/>
            </w:tcBorders>
            <w:shd w:val="clear" w:color="auto" w:fill="auto"/>
            <w:noWrap/>
            <w:vAlign w:val="center"/>
            <w:hideMark/>
          </w:tcPr>
          <w:p w14:paraId="44EB99D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20.0%</w:t>
            </w:r>
          </w:p>
        </w:tc>
        <w:tc>
          <w:tcPr>
            <w:tcW w:w="350" w:type="pct"/>
            <w:tcBorders>
              <w:top w:val="nil"/>
              <w:left w:val="nil"/>
              <w:bottom w:val="single" w:sz="4" w:space="0" w:color="auto"/>
              <w:right w:val="single" w:sz="4" w:space="0" w:color="auto"/>
            </w:tcBorders>
            <w:shd w:val="clear" w:color="auto" w:fill="auto"/>
            <w:noWrap/>
            <w:vAlign w:val="center"/>
            <w:hideMark/>
          </w:tcPr>
          <w:p w14:paraId="1D78C54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24.2%</w:t>
            </w:r>
          </w:p>
        </w:tc>
        <w:tc>
          <w:tcPr>
            <w:tcW w:w="350" w:type="pct"/>
            <w:tcBorders>
              <w:top w:val="nil"/>
              <w:left w:val="nil"/>
              <w:bottom w:val="single" w:sz="4" w:space="0" w:color="auto"/>
              <w:right w:val="single" w:sz="4" w:space="0" w:color="auto"/>
            </w:tcBorders>
            <w:shd w:val="clear" w:color="auto" w:fill="auto"/>
            <w:noWrap/>
            <w:vAlign w:val="center"/>
            <w:hideMark/>
          </w:tcPr>
          <w:p w14:paraId="3D34691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28.5%</w:t>
            </w:r>
          </w:p>
        </w:tc>
        <w:tc>
          <w:tcPr>
            <w:tcW w:w="350" w:type="pct"/>
            <w:tcBorders>
              <w:top w:val="nil"/>
              <w:left w:val="nil"/>
              <w:bottom w:val="single" w:sz="4" w:space="0" w:color="auto"/>
              <w:right w:val="single" w:sz="4" w:space="0" w:color="auto"/>
            </w:tcBorders>
            <w:shd w:val="clear" w:color="auto" w:fill="auto"/>
            <w:noWrap/>
            <w:vAlign w:val="center"/>
            <w:hideMark/>
          </w:tcPr>
          <w:p w14:paraId="1EB16C3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32.7%</w:t>
            </w:r>
          </w:p>
        </w:tc>
        <w:tc>
          <w:tcPr>
            <w:tcW w:w="350" w:type="pct"/>
            <w:tcBorders>
              <w:top w:val="nil"/>
              <w:left w:val="nil"/>
              <w:bottom w:val="single" w:sz="4" w:space="0" w:color="auto"/>
              <w:right w:val="single" w:sz="4" w:space="0" w:color="auto"/>
            </w:tcBorders>
            <w:shd w:val="clear" w:color="auto" w:fill="auto"/>
            <w:noWrap/>
            <w:vAlign w:val="center"/>
            <w:hideMark/>
          </w:tcPr>
          <w:p w14:paraId="1790EB9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36.9%</w:t>
            </w:r>
          </w:p>
        </w:tc>
        <w:tc>
          <w:tcPr>
            <w:tcW w:w="350" w:type="pct"/>
            <w:tcBorders>
              <w:top w:val="nil"/>
              <w:left w:val="nil"/>
              <w:bottom w:val="single" w:sz="4" w:space="0" w:color="auto"/>
              <w:right w:val="single" w:sz="4" w:space="0" w:color="auto"/>
            </w:tcBorders>
            <w:shd w:val="clear" w:color="auto" w:fill="auto"/>
            <w:noWrap/>
            <w:vAlign w:val="center"/>
            <w:hideMark/>
          </w:tcPr>
          <w:p w14:paraId="2DAB04D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41.1%</w:t>
            </w:r>
          </w:p>
        </w:tc>
        <w:tc>
          <w:tcPr>
            <w:tcW w:w="350" w:type="pct"/>
            <w:tcBorders>
              <w:top w:val="nil"/>
              <w:left w:val="nil"/>
              <w:bottom w:val="single" w:sz="4" w:space="0" w:color="auto"/>
              <w:right w:val="single" w:sz="4" w:space="0" w:color="auto"/>
            </w:tcBorders>
            <w:shd w:val="clear" w:color="auto" w:fill="auto"/>
            <w:noWrap/>
            <w:vAlign w:val="center"/>
            <w:hideMark/>
          </w:tcPr>
          <w:p w14:paraId="14E608D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45.3%</w:t>
            </w:r>
          </w:p>
        </w:tc>
        <w:tc>
          <w:tcPr>
            <w:tcW w:w="350" w:type="pct"/>
            <w:tcBorders>
              <w:top w:val="nil"/>
              <w:left w:val="nil"/>
              <w:bottom w:val="single" w:sz="4" w:space="0" w:color="auto"/>
              <w:right w:val="single" w:sz="4" w:space="0" w:color="auto"/>
            </w:tcBorders>
            <w:shd w:val="clear" w:color="auto" w:fill="auto"/>
            <w:noWrap/>
            <w:vAlign w:val="center"/>
            <w:hideMark/>
          </w:tcPr>
          <w:p w14:paraId="57EE24A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49.5%</w:t>
            </w:r>
          </w:p>
        </w:tc>
        <w:tc>
          <w:tcPr>
            <w:tcW w:w="350" w:type="pct"/>
            <w:tcBorders>
              <w:top w:val="nil"/>
              <w:left w:val="nil"/>
              <w:bottom w:val="single" w:sz="4" w:space="0" w:color="auto"/>
              <w:right w:val="single" w:sz="4" w:space="0" w:color="auto"/>
            </w:tcBorders>
            <w:shd w:val="clear" w:color="auto" w:fill="auto"/>
            <w:noWrap/>
            <w:vAlign w:val="center"/>
            <w:hideMark/>
          </w:tcPr>
          <w:p w14:paraId="660100D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53.7%</w:t>
            </w:r>
          </w:p>
        </w:tc>
        <w:tc>
          <w:tcPr>
            <w:tcW w:w="350" w:type="pct"/>
            <w:tcBorders>
              <w:top w:val="nil"/>
              <w:left w:val="nil"/>
              <w:bottom w:val="single" w:sz="4" w:space="0" w:color="auto"/>
              <w:right w:val="single" w:sz="4" w:space="0" w:color="auto"/>
            </w:tcBorders>
            <w:shd w:val="clear" w:color="auto" w:fill="auto"/>
            <w:noWrap/>
            <w:vAlign w:val="center"/>
            <w:hideMark/>
          </w:tcPr>
          <w:p w14:paraId="4F8B3B8F"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57.9%</w:t>
            </w:r>
          </w:p>
        </w:tc>
        <w:tc>
          <w:tcPr>
            <w:tcW w:w="350" w:type="pct"/>
            <w:tcBorders>
              <w:top w:val="nil"/>
              <w:left w:val="nil"/>
              <w:bottom w:val="single" w:sz="4" w:space="0" w:color="auto"/>
              <w:right w:val="single" w:sz="4" w:space="0" w:color="auto"/>
            </w:tcBorders>
            <w:shd w:val="clear" w:color="auto" w:fill="auto"/>
            <w:noWrap/>
            <w:vAlign w:val="center"/>
            <w:hideMark/>
          </w:tcPr>
          <w:p w14:paraId="2B78C0E8"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4.2%</w:t>
            </w:r>
          </w:p>
        </w:tc>
      </w:tr>
      <w:tr w:rsidR="00EF7EE3" w:rsidRPr="004C1108" w14:paraId="4159EF78"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10670AB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Asian/Pacific Islander</w:t>
            </w:r>
          </w:p>
        </w:tc>
        <w:tc>
          <w:tcPr>
            <w:tcW w:w="350" w:type="pct"/>
            <w:tcBorders>
              <w:top w:val="nil"/>
              <w:left w:val="nil"/>
              <w:bottom w:val="single" w:sz="4" w:space="0" w:color="auto"/>
              <w:right w:val="single" w:sz="4" w:space="0" w:color="auto"/>
            </w:tcBorders>
            <w:shd w:val="clear" w:color="auto" w:fill="auto"/>
            <w:noWrap/>
            <w:vAlign w:val="center"/>
            <w:hideMark/>
          </w:tcPr>
          <w:p w14:paraId="5C12E8EB"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29.1%</w:t>
            </w:r>
          </w:p>
        </w:tc>
        <w:tc>
          <w:tcPr>
            <w:tcW w:w="350" w:type="pct"/>
            <w:tcBorders>
              <w:top w:val="nil"/>
              <w:left w:val="nil"/>
              <w:bottom w:val="single" w:sz="4" w:space="0" w:color="auto"/>
              <w:right w:val="single" w:sz="4" w:space="0" w:color="auto"/>
            </w:tcBorders>
            <w:shd w:val="clear" w:color="auto" w:fill="auto"/>
            <w:noWrap/>
            <w:vAlign w:val="center"/>
            <w:hideMark/>
          </w:tcPr>
          <w:p w14:paraId="5C7E626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32.6%</w:t>
            </w:r>
          </w:p>
        </w:tc>
        <w:tc>
          <w:tcPr>
            <w:tcW w:w="350" w:type="pct"/>
            <w:tcBorders>
              <w:top w:val="nil"/>
              <w:left w:val="nil"/>
              <w:bottom w:val="single" w:sz="4" w:space="0" w:color="auto"/>
              <w:right w:val="single" w:sz="4" w:space="0" w:color="auto"/>
            </w:tcBorders>
            <w:shd w:val="clear" w:color="auto" w:fill="auto"/>
            <w:noWrap/>
            <w:vAlign w:val="center"/>
            <w:hideMark/>
          </w:tcPr>
          <w:p w14:paraId="7792CE6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36.2%</w:t>
            </w:r>
          </w:p>
        </w:tc>
        <w:tc>
          <w:tcPr>
            <w:tcW w:w="350" w:type="pct"/>
            <w:tcBorders>
              <w:top w:val="nil"/>
              <w:left w:val="nil"/>
              <w:bottom w:val="single" w:sz="4" w:space="0" w:color="auto"/>
              <w:right w:val="single" w:sz="4" w:space="0" w:color="auto"/>
            </w:tcBorders>
            <w:shd w:val="clear" w:color="auto" w:fill="auto"/>
            <w:noWrap/>
            <w:vAlign w:val="center"/>
            <w:hideMark/>
          </w:tcPr>
          <w:p w14:paraId="560456D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39.7%</w:t>
            </w:r>
          </w:p>
        </w:tc>
        <w:tc>
          <w:tcPr>
            <w:tcW w:w="350" w:type="pct"/>
            <w:tcBorders>
              <w:top w:val="nil"/>
              <w:left w:val="nil"/>
              <w:bottom w:val="single" w:sz="4" w:space="0" w:color="auto"/>
              <w:right w:val="single" w:sz="4" w:space="0" w:color="auto"/>
            </w:tcBorders>
            <w:shd w:val="clear" w:color="auto" w:fill="auto"/>
            <w:noWrap/>
            <w:vAlign w:val="center"/>
            <w:hideMark/>
          </w:tcPr>
          <w:p w14:paraId="7F83B29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43.3%</w:t>
            </w:r>
          </w:p>
        </w:tc>
        <w:tc>
          <w:tcPr>
            <w:tcW w:w="350" w:type="pct"/>
            <w:tcBorders>
              <w:top w:val="nil"/>
              <w:left w:val="nil"/>
              <w:bottom w:val="single" w:sz="4" w:space="0" w:color="auto"/>
              <w:right w:val="single" w:sz="4" w:space="0" w:color="auto"/>
            </w:tcBorders>
            <w:shd w:val="clear" w:color="auto" w:fill="auto"/>
            <w:noWrap/>
            <w:vAlign w:val="center"/>
            <w:hideMark/>
          </w:tcPr>
          <w:p w14:paraId="7A67582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46.8%</w:t>
            </w:r>
          </w:p>
        </w:tc>
        <w:tc>
          <w:tcPr>
            <w:tcW w:w="350" w:type="pct"/>
            <w:tcBorders>
              <w:top w:val="nil"/>
              <w:left w:val="nil"/>
              <w:bottom w:val="single" w:sz="4" w:space="0" w:color="auto"/>
              <w:right w:val="single" w:sz="4" w:space="0" w:color="auto"/>
            </w:tcBorders>
            <w:shd w:val="clear" w:color="auto" w:fill="auto"/>
            <w:noWrap/>
            <w:vAlign w:val="center"/>
            <w:hideMark/>
          </w:tcPr>
          <w:p w14:paraId="69AE59A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50.4%</w:t>
            </w:r>
          </w:p>
        </w:tc>
        <w:tc>
          <w:tcPr>
            <w:tcW w:w="350" w:type="pct"/>
            <w:tcBorders>
              <w:top w:val="nil"/>
              <w:left w:val="nil"/>
              <w:bottom w:val="single" w:sz="4" w:space="0" w:color="auto"/>
              <w:right w:val="single" w:sz="4" w:space="0" w:color="auto"/>
            </w:tcBorders>
            <w:shd w:val="clear" w:color="auto" w:fill="auto"/>
            <w:noWrap/>
            <w:vAlign w:val="center"/>
            <w:hideMark/>
          </w:tcPr>
          <w:p w14:paraId="60B1B15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53.9%</w:t>
            </w:r>
          </w:p>
        </w:tc>
        <w:tc>
          <w:tcPr>
            <w:tcW w:w="350" w:type="pct"/>
            <w:tcBorders>
              <w:top w:val="nil"/>
              <w:left w:val="nil"/>
              <w:bottom w:val="single" w:sz="4" w:space="0" w:color="auto"/>
              <w:right w:val="single" w:sz="4" w:space="0" w:color="auto"/>
            </w:tcBorders>
            <w:shd w:val="clear" w:color="auto" w:fill="auto"/>
            <w:noWrap/>
            <w:vAlign w:val="center"/>
            <w:hideMark/>
          </w:tcPr>
          <w:p w14:paraId="1BECF20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57.5%</w:t>
            </w:r>
          </w:p>
        </w:tc>
        <w:tc>
          <w:tcPr>
            <w:tcW w:w="350" w:type="pct"/>
            <w:tcBorders>
              <w:top w:val="nil"/>
              <w:left w:val="nil"/>
              <w:bottom w:val="single" w:sz="4" w:space="0" w:color="auto"/>
              <w:right w:val="single" w:sz="4" w:space="0" w:color="auto"/>
            </w:tcBorders>
            <w:shd w:val="clear" w:color="auto" w:fill="auto"/>
            <w:noWrap/>
            <w:vAlign w:val="center"/>
            <w:hideMark/>
          </w:tcPr>
          <w:p w14:paraId="6C0DE2D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61.0%</w:t>
            </w:r>
          </w:p>
        </w:tc>
        <w:tc>
          <w:tcPr>
            <w:tcW w:w="350" w:type="pct"/>
            <w:tcBorders>
              <w:top w:val="nil"/>
              <w:left w:val="nil"/>
              <w:bottom w:val="single" w:sz="4" w:space="0" w:color="auto"/>
              <w:right w:val="single" w:sz="4" w:space="0" w:color="auto"/>
            </w:tcBorders>
            <w:shd w:val="clear" w:color="auto" w:fill="auto"/>
            <w:noWrap/>
            <w:vAlign w:val="center"/>
            <w:hideMark/>
          </w:tcPr>
          <w:p w14:paraId="6BC33175"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64.5%</w:t>
            </w:r>
          </w:p>
        </w:tc>
        <w:tc>
          <w:tcPr>
            <w:tcW w:w="350" w:type="pct"/>
            <w:tcBorders>
              <w:top w:val="nil"/>
              <w:left w:val="nil"/>
              <w:bottom w:val="single" w:sz="4" w:space="0" w:color="auto"/>
              <w:right w:val="single" w:sz="4" w:space="0" w:color="auto"/>
            </w:tcBorders>
            <w:shd w:val="clear" w:color="auto" w:fill="auto"/>
            <w:noWrap/>
            <w:vAlign w:val="center"/>
            <w:hideMark/>
          </w:tcPr>
          <w:p w14:paraId="3A4D44EC"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3.5%</w:t>
            </w:r>
          </w:p>
        </w:tc>
      </w:tr>
      <w:tr w:rsidR="00EF7EE3" w:rsidRPr="004C1108" w14:paraId="63249527"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3244B15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Caucasian</w:t>
            </w:r>
          </w:p>
        </w:tc>
        <w:tc>
          <w:tcPr>
            <w:tcW w:w="350" w:type="pct"/>
            <w:tcBorders>
              <w:top w:val="nil"/>
              <w:left w:val="nil"/>
              <w:bottom w:val="single" w:sz="4" w:space="0" w:color="auto"/>
              <w:right w:val="single" w:sz="4" w:space="0" w:color="auto"/>
            </w:tcBorders>
            <w:shd w:val="clear" w:color="auto" w:fill="auto"/>
            <w:noWrap/>
            <w:vAlign w:val="center"/>
            <w:hideMark/>
          </w:tcPr>
          <w:p w14:paraId="10548C9C"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47.6%</w:t>
            </w:r>
          </w:p>
        </w:tc>
        <w:tc>
          <w:tcPr>
            <w:tcW w:w="350" w:type="pct"/>
            <w:tcBorders>
              <w:top w:val="nil"/>
              <w:left w:val="nil"/>
              <w:bottom w:val="single" w:sz="4" w:space="0" w:color="auto"/>
              <w:right w:val="single" w:sz="4" w:space="0" w:color="auto"/>
            </w:tcBorders>
            <w:shd w:val="clear" w:color="auto" w:fill="auto"/>
            <w:noWrap/>
            <w:vAlign w:val="center"/>
            <w:hideMark/>
          </w:tcPr>
          <w:p w14:paraId="16A2F80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50.2%</w:t>
            </w:r>
          </w:p>
        </w:tc>
        <w:tc>
          <w:tcPr>
            <w:tcW w:w="350" w:type="pct"/>
            <w:tcBorders>
              <w:top w:val="nil"/>
              <w:left w:val="nil"/>
              <w:bottom w:val="single" w:sz="4" w:space="0" w:color="auto"/>
              <w:right w:val="single" w:sz="4" w:space="0" w:color="auto"/>
            </w:tcBorders>
            <w:shd w:val="clear" w:color="auto" w:fill="auto"/>
            <w:noWrap/>
            <w:vAlign w:val="center"/>
            <w:hideMark/>
          </w:tcPr>
          <w:p w14:paraId="051185E7"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52.8%</w:t>
            </w:r>
          </w:p>
        </w:tc>
        <w:tc>
          <w:tcPr>
            <w:tcW w:w="350" w:type="pct"/>
            <w:tcBorders>
              <w:top w:val="nil"/>
              <w:left w:val="nil"/>
              <w:bottom w:val="single" w:sz="4" w:space="0" w:color="auto"/>
              <w:right w:val="single" w:sz="4" w:space="0" w:color="auto"/>
            </w:tcBorders>
            <w:shd w:val="clear" w:color="auto" w:fill="auto"/>
            <w:noWrap/>
            <w:vAlign w:val="center"/>
            <w:hideMark/>
          </w:tcPr>
          <w:p w14:paraId="0C4A973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55.4%</w:t>
            </w:r>
          </w:p>
        </w:tc>
        <w:tc>
          <w:tcPr>
            <w:tcW w:w="350" w:type="pct"/>
            <w:tcBorders>
              <w:top w:val="nil"/>
              <w:left w:val="nil"/>
              <w:bottom w:val="single" w:sz="4" w:space="0" w:color="auto"/>
              <w:right w:val="single" w:sz="4" w:space="0" w:color="auto"/>
            </w:tcBorders>
            <w:shd w:val="clear" w:color="auto" w:fill="auto"/>
            <w:noWrap/>
            <w:vAlign w:val="center"/>
            <w:hideMark/>
          </w:tcPr>
          <w:p w14:paraId="249881A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58.1%</w:t>
            </w:r>
          </w:p>
        </w:tc>
        <w:tc>
          <w:tcPr>
            <w:tcW w:w="350" w:type="pct"/>
            <w:tcBorders>
              <w:top w:val="nil"/>
              <w:left w:val="nil"/>
              <w:bottom w:val="single" w:sz="4" w:space="0" w:color="auto"/>
              <w:right w:val="single" w:sz="4" w:space="0" w:color="auto"/>
            </w:tcBorders>
            <w:shd w:val="clear" w:color="auto" w:fill="auto"/>
            <w:noWrap/>
            <w:vAlign w:val="center"/>
            <w:hideMark/>
          </w:tcPr>
          <w:p w14:paraId="09B1FD7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60.7%</w:t>
            </w:r>
          </w:p>
        </w:tc>
        <w:tc>
          <w:tcPr>
            <w:tcW w:w="350" w:type="pct"/>
            <w:tcBorders>
              <w:top w:val="nil"/>
              <w:left w:val="nil"/>
              <w:bottom w:val="single" w:sz="4" w:space="0" w:color="auto"/>
              <w:right w:val="single" w:sz="4" w:space="0" w:color="auto"/>
            </w:tcBorders>
            <w:shd w:val="clear" w:color="auto" w:fill="auto"/>
            <w:noWrap/>
            <w:vAlign w:val="center"/>
            <w:hideMark/>
          </w:tcPr>
          <w:p w14:paraId="0C55A15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63.3%</w:t>
            </w:r>
          </w:p>
        </w:tc>
        <w:tc>
          <w:tcPr>
            <w:tcW w:w="350" w:type="pct"/>
            <w:tcBorders>
              <w:top w:val="nil"/>
              <w:left w:val="nil"/>
              <w:bottom w:val="single" w:sz="4" w:space="0" w:color="auto"/>
              <w:right w:val="single" w:sz="4" w:space="0" w:color="auto"/>
            </w:tcBorders>
            <w:shd w:val="clear" w:color="auto" w:fill="auto"/>
            <w:noWrap/>
            <w:vAlign w:val="center"/>
            <w:hideMark/>
          </w:tcPr>
          <w:p w14:paraId="4C1C2C2D"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65.9%</w:t>
            </w:r>
          </w:p>
        </w:tc>
        <w:tc>
          <w:tcPr>
            <w:tcW w:w="350" w:type="pct"/>
            <w:tcBorders>
              <w:top w:val="nil"/>
              <w:left w:val="nil"/>
              <w:bottom w:val="single" w:sz="4" w:space="0" w:color="auto"/>
              <w:right w:val="single" w:sz="4" w:space="0" w:color="auto"/>
            </w:tcBorders>
            <w:shd w:val="clear" w:color="auto" w:fill="auto"/>
            <w:noWrap/>
            <w:vAlign w:val="center"/>
            <w:hideMark/>
          </w:tcPr>
          <w:p w14:paraId="6FD7877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68.5%</w:t>
            </w:r>
          </w:p>
        </w:tc>
        <w:tc>
          <w:tcPr>
            <w:tcW w:w="350" w:type="pct"/>
            <w:tcBorders>
              <w:top w:val="nil"/>
              <w:left w:val="nil"/>
              <w:bottom w:val="single" w:sz="4" w:space="0" w:color="auto"/>
              <w:right w:val="single" w:sz="4" w:space="0" w:color="auto"/>
            </w:tcBorders>
            <w:shd w:val="clear" w:color="auto" w:fill="auto"/>
            <w:noWrap/>
            <w:vAlign w:val="center"/>
            <w:hideMark/>
          </w:tcPr>
          <w:p w14:paraId="3A741D1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71.2%</w:t>
            </w:r>
          </w:p>
        </w:tc>
        <w:tc>
          <w:tcPr>
            <w:tcW w:w="350" w:type="pct"/>
            <w:tcBorders>
              <w:top w:val="nil"/>
              <w:left w:val="nil"/>
              <w:bottom w:val="single" w:sz="4" w:space="0" w:color="auto"/>
              <w:right w:val="single" w:sz="4" w:space="0" w:color="auto"/>
            </w:tcBorders>
            <w:shd w:val="clear" w:color="auto" w:fill="auto"/>
            <w:noWrap/>
            <w:vAlign w:val="center"/>
            <w:hideMark/>
          </w:tcPr>
          <w:p w14:paraId="138D0527"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73.8%</w:t>
            </w:r>
          </w:p>
        </w:tc>
        <w:tc>
          <w:tcPr>
            <w:tcW w:w="350" w:type="pct"/>
            <w:tcBorders>
              <w:top w:val="nil"/>
              <w:left w:val="nil"/>
              <w:bottom w:val="single" w:sz="4" w:space="0" w:color="auto"/>
              <w:right w:val="single" w:sz="4" w:space="0" w:color="auto"/>
            </w:tcBorders>
            <w:shd w:val="clear" w:color="auto" w:fill="auto"/>
            <w:noWrap/>
            <w:vAlign w:val="center"/>
            <w:hideMark/>
          </w:tcPr>
          <w:p w14:paraId="240B5E12"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2.6%</w:t>
            </w:r>
          </w:p>
        </w:tc>
      </w:tr>
      <w:tr w:rsidR="00EF7EE3" w:rsidRPr="004C1108" w14:paraId="5B4651EB"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D7AF75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Hispanic</w:t>
            </w:r>
          </w:p>
        </w:tc>
        <w:tc>
          <w:tcPr>
            <w:tcW w:w="350" w:type="pct"/>
            <w:tcBorders>
              <w:top w:val="nil"/>
              <w:left w:val="nil"/>
              <w:bottom w:val="single" w:sz="4" w:space="0" w:color="auto"/>
              <w:right w:val="single" w:sz="4" w:space="0" w:color="auto"/>
            </w:tcBorders>
            <w:shd w:val="clear" w:color="auto" w:fill="auto"/>
            <w:noWrap/>
            <w:vAlign w:val="center"/>
            <w:hideMark/>
          </w:tcPr>
          <w:p w14:paraId="416FE6AD"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31.0%</w:t>
            </w:r>
          </w:p>
        </w:tc>
        <w:tc>
          <w:tcPr>
            <w:tcW w:w="350" w:type="pct"/>
            <w:tcBorders>
              <w:top w:val="nil"/>
              <w:left w:val="nil"/>
              <w:bottom w:val="single" w:sz="4" w:space="0" w:color="auto"/>
              <w:right w:val="single" w:sz="4" w:space="0" w:color="auto"/>
            </w:tcBorders>
            <w:shd w:val="clear" w:color="auto" w:fill="auto"/>
            <w:noWrap/>
            <w:vAlign w:val="center"/>
            <w:hideMark/>
          </w:tcPr>
          <w:p w14:paraId="7CF1506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34.4%</w:t>
            </w:r>
          </w:p>
        </w:tc>
        <w:tc>
          <w:tcPr>
            <w:tcW w:w="350" w:type="pct"/>
            <w:tcBorders>
              <w:top w:val="nil"/>
              <w:left w:val="nil"/>
              <w:bottom w:val="single" w:sz="4" w:space="0" w:color="auto"/>
              <w:right w:val="single" w:sz="4" w:space="0" w:color="auto"/>
            </w:tcBorders>
            <w:shd w:val="clear" w:color="auto" w:fill="auto"/>
            <w:noWrap/>
            <w:vAlign w:val="center"/>
            <w:hideMark/>
          </w:tcPr>
          <w:p w14:paraId="50A6DCF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37.9%</w:t>
            </w:r>
          </w:p>
        </w:tc>
        <w:tc>
          <w:tcPr>
            <w:tcW w:w="350" w:type="pct"/>
            <w:tcBorders>
              <w:top w:val="nil"/>
              <w:left w:val="nil"/>
              <w:bottom w:val="single" w:sz="4" w:space="0" w:color="auto"/>
              <w:right w:val="single" w:sz="4" w:space="0" w:color="auto"/>
            </w:tcBorders>
            <w:shd w:val="clear" w:color="auto" w:fill="auto"/>
            <w:noWrap/>
            <w:vAlign w:val="center"/>
            <w:hideMark/>
          </w:tcPr>
          <w:p w14:paraId="2C78675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41.3%</w:t>
            </w:r>
          </w:p>
        </w:tc>
        <w:tc>
          <w:tcPr>
            <w:tcW w:w="350" w:type="pct"/>
            <w:tcBorders>
              <w:top w:val="nil"/>
              <w:left w:val="nil"/>
              <w:bottom w:val="single" w:sz="4" w:space="0" w:color="auto"/>
              <w:right w:val="single" w:sz="4" w:space="0" w:color="auto"/>
            </w:tcBorders>
            <w:shd w:val="clear" w:color="auto" w:fill="auto"/>
            <w:noWrap/>
            <w:vAlign w:val="center"/>
            <w:hideMark/>
          </w:tcPr>
          <w:p w14:paraId="2222675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44.8%</w:t>
            </w:r>
          </w:p>
        </w:tc>
        <w:tc>
          <w:tcPr>
            <w:tcW w:w="350" w:type="pct"/>
            <w:tcBorders>
              <w:top w:val="nil"/>
              <w:left w:val="nil"/>
              <w:bottom w:val="single" w:sz="4" w:space="0" w:color="auto"/>
              <w:right w:val="single" w:sz="4" w:space="0" w:color="auto"/>
            </w:tcBorders>
            <w:shd w:val="clear" w:color="auto" w:fill="auto"/>
            <w:noWrap/>
            <w:vAlign w:val="center"/>
            <w:hideMark/>
          </w:tcPr>
          <w:p w14:paraId="1CE3B83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48.2%</w:t>
            </w:r>
          </w:p>
        </w:tc>
        <w:tc>
          <w:tcPr>
            <w:tcW w:w="350" w:type="pct"/>
            <w:tcBorders>
              <w:top w:val="nil"/>
              <w:left w:val="nil"/>
              <w:bottom w:val="single" w:sz="4" w:space="0" w:color="auto"/>
              <w:right w:val="single" w:sz="4" w:space="0" w:color="auto"/>
            </w:tcBorders>
            <w:shd w:val="clear" w:color="auto" w:fill="auto"/>
            <w:noWrap/>
            <w:vAlign w:val="center"/>
            <w:hideMark/>
          </w:tcPr>
          <w:p w14:paraId="6720067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51.7%</w:t>
            </w:r>
          </w:p>
        </w:tc>
        <w:tc>
          <w:tcPr>
            <w:tcW w:w="350" w:type="pct"/>
            <w:tcBorders>
              <w:top w:val="nil"/>
              <w:left w:val="nil"/>
              <w:bottom w:val="single" w:sz="4" w:space="0" w:color="auto"/>
              <w:right w:val="single" w:sz="4" w:space="0" w:color="auto"/>
            </w:tcBorders>
            <w:shd w:val="clear" w:color="auto" w:fill="auto"/>
            <w:noWrap/>
            <w:vAlign w:val="center"/>
            <w:hideMark/>
          </w:tcPr>
          <w:p w14:paraId="52A55BF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55.1%</w:t>
            </w:r>
          </w:p>
        </w:tc>
        <w:tc>
          <w:tcPr>
            <w:tcW w:w="350" w:type="pct"/>
            <w:tcBorders>
              <w:top w:val="nil"/>
              <w:left w:val="nil"/>
              <w:bottom w:val="single" w:sz="4" w:space="0" w:color="auto"/>
              <w:right w:val="single" w:sz="4" w:space="0" w:color="auto"/>
            </w:tcBorders>
            <w:shd w:val="clear" w:color="auto" w:fill="auto"/>
            <w:noWrap/>
            <w:vAlign w:val="center"/>
            <w:hideMark/>
          </w:tcPr>
          <w:p w14:paraId="2CC7322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58.6%</w:t>
            </w:r>
          </w:p>
        </w:tc>
        <w:tc>
          <w:tcPr>
            <w:tcW w:w="350" w:type="pct"/>
            <w:tcBorders>
              <w:top w:val="nil"/>
              <w:left w:val="nil"/>
              <w:bottom w:val="single" w:sz="4" w:space="0" w:color="auto"/>
              <w:right w:val="single" w:sz="4" w:space="0" w:color="auto"/>
            </w:tcBorders>
            <w:shd w:val="clear" w:color="auto" w:fill="auto"/>
            <w:noWrap/>
            <w:vAlign w:val="center"/>
            <w:hideMark/>
          </w:tcPr>
          <w:p w14:paraId="70DB1CC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62.0%</w:t>
            </w:r>
          </w:p>
        </w:tc>
        <w:tc>
          <w:tcPr>
            <w:tcW w:w="350" w:type="pct"/>
            <w:tcBorders>
              <w:top w:val="nil"/>
              <w:left w:val="nil"/>
              <w:bottom w:val="single" w:sz="4" w:space="0" w:color="auto"/>
              <w:right w:val="single" w:sz="4" w:space="0" w:color="auto"/>
            </w:tcBorders>
            <w:shd w:val="clear" w:color="auto" w:fill="auto"/>
            <w:noWrap/>
            <w:vAlign w:val="center"/>
            <w:hideMark/>
          </w:tcPr>
          <w:p w14:paraId="20EC5471"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65.5%</w:t>
            </w:r>
          </w:p>
        </w:tc>
        <w:tc>
          <w:tcPr>
            <w:tcW w:w="350" w:type="pct"/>
            <w:tcBorders>
              <w:top w:val="nil"/>
              <w:left w:val="nil"/>
              <w:bottom w:val="single" w:sz="4" w:space="0" w:color="auto"/>
              <w:right w:val="single" w:sz="4" w:space="0" w:color="auto"/>
            </w:tcBorders>
            <w:shd w:val="clear" w:color="auto" w:fill="auto"/>
            <w:noWrap/>
            <w:vAlign w:val="center"/>
            <w:hideMark/>
          </w:tcPr>
          <w:p w14:paraId="25702BA0"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3.5%</w:t>
            </w:r>
          </w:p>
        </w:tc>
      </w:tr>
      <w:tr w:rsidR="00EF7EE3" w:rsidRPr="004C1108" w14:paraId="451C3691"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33C1987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Two or More Races</w:t>
            </w:r>
          </w:p>
        </w:tc>
        <w:tc>
          <w:tcPr>
            <w:tcW w:w="350" w:type="pct"/>
            <w:tcBorders>
              <w:top w:val="nil"/>
              <w:left w:val="nil"/>
              <w:bottom w:val="single" w:sz="4" w:space="0" w:color="auto"/>
              <w:right w:val="single" w:sz="4" w:space="0" w:color="auto"/>
            </w:tcBorders>
            <w:shd w:val="clear" w:color="auto" w:fill="auto"/>
            <w:noWrap/>
            <w:vAlign w:val="center"/>
            <w:hideMark/>
          </w:tcPr>
          <w:p w14:paraId="2501C207"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37.1%</w:t>
            </w:r>
          </w:p>
        </w:tc>
        <w:tc>
          <w:tcPr>
            <w:tcW w:w="350" w:type="pct"/>
            <w:tcBorders>
              <w:top w:val="nil"/>
              <w:left w:val="nil"/>
              <w:bottom w:val="single" w:sz="4" w:space="0" w:color="auto"/>
              <w:right w:val="single" w:sz="4" w:space="0" w:color="auto"/>
            </w:tcBorders>
            <w:shd w:val="clear" w:color="auto" w:fill="auto"/>
            <w:noWrap/>
            <w:vAlign w:val="center"/>
            <w:hideMark/>
          </w:tcPr>
          <w:p w14:paraId="4F7D490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40.2%</w:t>
            </w:r>
          </w:p>
        </w:tc>
        <w:tc>
          <w:tcPr>
            <w:tcW w:w="350" w:type="pct"/>
            <w:tcBorders>
              <w:top w:val="nil"/>
              <w:left w:val="nil"/>
              <w:bottom w:val="single" w:sz="4" w:space="0" w:color="auto"/>
              <w:right w:val="single" w:sz="4" w:space="0" w:color="auto"/>
            </w:tcBorders>
            <w:shd w:val="clear" w:color="auto" w:fill="auto"/>
            <w:noWrap/>
            <w:vAlign w:val="center"/>
            <w:hideMark/>
          </w:tcPr>
          <w:p w14:paraId="146689A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43.4%</w:t>
            </w:r>
          </w:p>
        </w:tc>
        <w:tc>
          <w:tcPr>
            <w:tcW w:w="350" w:type="pct"/>
            <w:tcBorders>
              <w:top w:val="nil"/>
              <w:left w:val="nil"/>
              <w:bottom w:val="single" w:sz="4" w:space="0" w:color="auto"/>
              <w:right w:val="single" w:sz="4" w:space="0" w:color="auto"/>
            </w:tcBorders>
            <w:shd w:val="clear" w:color="auto" w:fill="auto"/>
            <w:noWrap/>
            <w:vAlign w:val="center"/>
            <w:hideMark/>
          </w:tcPr>
          <w:p w14:paraId="3CBA85E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46.5%</w:t>
            </w:r>
          </w:p>
        </w:tc>
        <w:tc>
          <w:tcPr>
            <w:tcW w:w="350" w:type="pct"/>
            <w:tcBorders>
              <w:top w:val="nil"/>
              <w:left w:val="nil"/>
              <w:bottom w:val="single" w:sz="4" w:space="0" w:color="auto"/>
              <w:right w:val="single" w:sz="4" w:space="0" w:color="auto"/>
            </w:tcBorders>
            <w:shd w:val="clear" w:color="auto" w:fill="auto"/>
            <w:noWrap/>
            <w:vAlign w:val="center"/>
            <w:hideMark/>
          </w:tcPr>
          <w:p w14:paraId="5AB0EE4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49.7%</w:t>
            </w:r>
          </w:p>
        </w:tc>
        <w:tc>
          <w:tcPr>
            <w:tcW w:w="350" w:type="pct"/>
            <w:tcBorders>
              <w:top w:val="nil"/>
              <w:left w:val="nil"/>
              <w:bottom w:val="single" w:sz="4" w:space="0" w:color="auto"/>
              <w:right w:val="single" w:sz="4" w:space="0" w:color="auto"/>
            </w:tcBorders>
            <w:shd w:val="clear" w:color="auto" w:fill="auto"/>
            <w:noWrap/>
            <w:vAlign w:val="center"/>
            <w:hideMark/>
          </w:tcPr>
          <w:p w14:paraId="50B0F194"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52.8%</w:t>
            </w:r>
          </w:p>
        </w:tc>
        <w:tc>
          <w:tcPr>
            <w:tcW w:w="350" w:type="pct"/>
            <w:tcBorders>
              <w:top w:val="nil"/>
              <w:left w:val="nil"/>
              <w:bottom w:val="single" w:sz="4" w:space="0" w:color="auto"/>
              <w:right w:val="single" w:sz="4" w:space="0" w:color="auto"/>
            </w:tcBorders>
            <w:shd w:val="clear" w:color="auto" w:fill="auto"/>
            <w:noWrap/>
            <w:vAlign w:val="center"/>
            <w:hideMark/>
          </w:tcPr>
          <w:p w14:paraId="2F309CE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56.0%</w:t>
            </w:r>
          </w:p>
        </w:tc>
        <w:tc>
          <w:tcPr>
            <w:tcW w:w="350" w:type="pct"/>
            <w:tcBorders>
              <w:top w:val="nil"/>
              <w:left w:val="nil"/>
              <w:bottom w:val="single" w:sz="4" w:space="0" w:color="auto"/>
              <w:right w:val="single" w:sz="4" w:space="0" w:color="auto"/>
            </w:tcBorders>
            <w:shd w:val="clear" w:color="auto" w:fill="auto"/>
            <w:noWrap/>
            <w:vAlign w:val="center"/>
            <w:hideMark/>
          </w:tcPr>
          <w:p w14:paraId="7700E19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59.1%</w:t>
            </w:r>
          </w:p>
        </w:tc>
        <w:tc>
          <w:tcPr>
            <w:tcW w:w="350" w:type="pct"/>
            <w:tcBorders>
              <w:top w:val="nil"/>
              <w:left w:val="nil"/>
              <w:bottom w:val="single" w:sz="4" w:space="0" w:color="auto"/>
              <w:right w:val="single" w:sz="4" w:space="0" w:color="auto"/>
            </w:tcBorders>
            <w:shd w:val="clear" w:color="auto" w:fill="auto"/>
            <w:noWrap/>
            <w:vAlign w:val="center"/>
            <w:hideMark/>
          </w:tcPr>
          <w:p w14:paraId="77DC936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62.2%</w:t>
            </w:r>
          </w:p>
        </w:tc>
        <w:tc>
          <w:tcPr>
            <w:tcW w:w="350" w:type="pct"/>
            <w:tcBorders>
              <w:top w:val="nil"/>
              <w:left w:val="nil"/>
              <w:bottom w:val="single" w:sz="4" w:space="0" w:color="auto"/>
              <w:right w:val="single" w:sz="4" w:space="0" w:color="auto"/>
            </w:tcBorders>
            <w:shd w:val="clear" w:color="auto" w:fill="auto"/>
            <w:noWrap/>
            <w:vAlign w:val="center"/>
            <w:hideMark/>
          </w:tcPr>
          <w:p w14:paraId="6411012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65.4%</w:t>
            </w:r>
          </w:p>
        </w:tc>
        <w:tc>
          <w:tcPr>
            <w:tcW w:w="350" w:type="pct"/>
            <w:tcBorders>
              <w:top w:val="nil"/>
              <w:left w:val="nil"/>
              <w:bottom w:val="single" w:sz="4" w:space="0" w:color="auto"/>
              <w:right w:val="single" w:sz="4" w:space="0" w:color="auto"/>
            </w:tcBorders>
            <w:shd w:val="clear" w:color="auto" w:fill="auto"/>
            <w:noWrap/>
            <w:vAlign w:val="center"/>
            <w:hideMark/>
          </w:tcPr>
          <w:p w14:paraId="7B656045"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68.5%</w:t>
            </w:r>
          </w:p>
        </w:tc>
        <w:tc>
          <w:tcPr>
            <w:tcW w:w="350" w:type="pct"/>
            <w:tcBorders>
              <w:top w:val="nil"/>
              <w:left w:val="nil"/>
              <w:bottom w:val="single" w:sz="4" w:space="0" w:color="auto"/>
              <w:right w:val="single" w:sz="4" w:space="0" w:color="auto"/>
            </w:tcBorders>
            <w:shd w:val="clear" w:color="auto" w:fill="auto"/>
            <w:noWrap/>
            <w:vAlign w:val="center"/>
            <w:hideMark/>
          </w:tcPr>
          <w:p w14:paraId="7B2B3EFC"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3.1%</w:t>
            </w:r>
          </w:p>
        </w:tc>
      </w:tr>
      <w:tr w:rsidR="00EF7EE3" w:rsidRPr="004C1108" w14:paraId="0AE3790B"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6663D9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Students with Disabilities</w:t>
            </w:r>
          </w:p>
        </w:tc>
        <w:tc>
          <w:tcPr>
            <w:tcW w:w="350" w:type="pct"/>
            <w:tcBorders>
              <w:top w:val="nil"/>
              <w:left w:val="nil"/>
              <w:bottom w:val="single" w:sz="4" w:space="0" w:color="auto"/>
              <w:right w:val="single" w:sz="4" w:space="0" w:color="auto"/>
            </w:tcBorders>
            <w:shd w:val="clear" w:color="auto" w:fill="auto"/>
            <w:noWrap/>
            <w:vAlign w:val="center"/>
            <w:hideMark/>
          </w:tcPr>
          <w:p w14:paraId="7B56307B"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10.2%</w:t>
            </w:r>
          </w:p>
        </w:tc>
        <w:tc>
          <w:tcPr>
            <w:tcW w:w="350" w:type="pct"/>
            <w:tcBorders>
              <w:top w:val="nil"/>
              <w:left w:val="nil"/>
              <w:bottom w:val="single" w:sz="4" w:space="0" w:color="auto"/>
              <w:right w:val="single" w:sz="4" w:space="0" w:color="auto"/>
            </w:tcBorders>
            <w:shd w:val="clear" w:color="auto" w:fill="auto"/>
            <w:noWrap/>
            <w:vAlign w:val="center"/>
            <w:hideMark/>
          </w:tcPr>
          <w:p w14:paraId="348EE25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14.7%</w:t>
            </w:r>
          </w:p>
        </w:tc>
        <w:tc>
          <w:tcPr>
            <w:tcW w:w="350" w:type="pct"/>
            <w:tcBorders>
              <w:top w:val="nil"/>
              <w:left w:val="nil"/>
              <w:bottom w:val="single" w:sz="4" w:space="0" w:color="auto"/>
              <w:right w:val="single" w:sz="4" w:space="0" w:color="auto"/>
            </w:tcBorders>
            <w:shd w:val="clear" w:color="auto" w:fill="auto"/>
            <w:noWrap/>
            <w:vAlign w:val="center"/>
            <w:hideMark/>
          </w:tcPr>
          <w:p w14:paraId="688DB64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19.1%</w:t>
            </w:r>
          </w:p>
        </w:tc>
        <w:tc>
          <w:tcPr>
            <w:tcW w:w="350" w:type="pct"/>
            <w:tcBorders>
              <w:top w:val="nil"/>
              <w:left w:val="nil"/>
              <w:bottom w:val="single" w:sz="4" w:space="0" w:color="auto"/>
              <w:right w:val="single" w:sz="4" w:space="0" w:color="auto"/>
            </w:tcBorders>
            <w:shd w:val="clear" w:color="auto" w:fill="auto"/>
            <w:noWrap/>
            <w:vAlign w:val="center"/>
            <w:hideMark/>
          </w:tcPr>
          <w:p w14:paraId="1F960AF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23.6%</w:t>
            </w:r>
          </w:p>
        </w:tc>
        <w:tc>
          <w:tcPr>
            <w:tcW w:w="350" w:type="pct"/>
            <w:tcBorders>
              <w:top w:val="nil"/>
              <w:left w:val="nil"/>
              <w:bottom w:val="single" w:sz="4" w:space="0" w:color="auto"/>
              <w:right w:val="single" w:sz="4" w:space="0" w:color="auto"/>
            </w:tcBorders>
            <w:shd w:val="clear" w:color="auto" w:fill="auto"/>
            <w:noWrap/>
            <w:vAlign w:val="center"/>
            <w:hideMark/>
          </w:tcPr>
          <w:p w14:paraId="5A2EC14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28.1%</w:t>
            </w:r>
          </w:p>
        </w:tc>
        <w:tc>
          <w:tcPr>
            <w:tcW w:w="350" w:type="pct"/>
            <w:tcBorders>
              <w:top w:val="nil"/>
              <w:left w:val="nil"/>
              <w:bottom w:val="single" w:sz="4" w:space="0" w:color="auto"/>
              <w:right w:val="single" w:sz="4" w:space="0" w:color="auto"/>
            </w:tcBorders>
            <w:shd w:val="clear" w:color="auto" w:fill="auto"/>
            <w:noWrap/>
            <w:vAlign w:val="center"/>
            <w:hideMark/>
          </w:tcPr>
          <w:p w14:paraId="4EB89E3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32.6%</w:t>
            </w:r>
          </w:p>
        </w:tc>
        <w:tc>
          <w:tcPr>
            <w:tcW w:w="350" w:type="pct"/>
            <w:tcBorders>
              <w:top w:val="nil"/>
              <w:left w:val="nil"/>
              <w:bottom w:val="single" w:sz="4" w:space="0" w:color="auto"/>
              <w:right w:val="single" w:sz="4" w:space="0" w:color="auto"/>
            </w:tcBorders>
            <w:shd w:val="clear" w:color="auto" w:fill="auto"/>
            <w:noWrap/>
            <w:vAlign w:val="center"/>
            <w:hideMark/>
          </w:tcPr>
          <w:p w14:paraId="1B99DE3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37.1%</w:t>
            </w:r>
          </w:p>
        </w:tc>
        <w:tc>
          <w:tcPr>
            <w:tcW w:w="350" w:type="pct"/>
            <w:tcBorders>
              <w:top w:val="nil"/>
              <w:left w:val="nil"/>
              <w:bottom w:val="single" w:sz="4" w:space="0" w:color="auto"/>
              <w:right w:val="single" w:sz="4" w:space="0" w:color="auto"/>
            </w:tcBorders>
            <w:shd w:val="clear" w:color="auto" w:fill="auto"/>
            <w:noWrap/>
            <w:vAlign w:val="center"/>
            <w:hideMark/>
          </w:tcPr>
          <w:p w14:paraId="78EF066C"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41.6%</w:t>
            </w:r>
          </w:p>
        </w:tc>
        <w:tc>
          <w:tcPr>
            <w:tcW w:w="350" w:type="pct"/>
            <w:tcBorders>
              <w:top w:val="nil"/>
              <w:left w:val="nil"/>
              <w:bottom w:val="single" w:sz="4" w:space="0" w:color="auto"/>
              <w:right w:val="single" w:sz="4" w:space="0" w:color="auto"/>
            </w:tcBorders>
            <w:shd w:val="clear" w:color="auto" w:fill="auto"/>
            <w:noWrap/>
            <w:vAlign w:val="center"/>
            <w:hideMark/>
          </w:tcPr>
          <w:p w14:paraId="04D655A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46.1%</w:t>
            </w:r>
          </w:p>
        </w:tc>
        <w:tc>
          <w:tcPr>
            <w:tcW w:w="350" w:type="pct"/>
            <w:tcBorders>
              <w:top w:val="nil"/>
              <w:left w:val="nil"/>
              <w:bottom w:val="single" w:sz="4" w:space="0" w:color="auto"/>
              <w:right w:val="single" w:sz="4" w:space="0" w:color="auto"/>
            </w:tcBorders>
            <w:shd w:val="clear" w:color="auto" w:fill="auto"/>
            <w:noWrap/>
            <w:vAlign w:val="center"/>
            <w:hideMark/>
          </w:tcPr>
          <w:p w14:paraId="2DA070E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50.6%</w:t>
            </w:r>
          </w:p>
        </w:tc>
        <w:tc>
          <w:tcPr>
            <w:tcW w:w="350" w:type="pct"/>
            <w:tcBorders>
              <w:top w:val="nil"/>
              <w:left w:val="nil"/>
              <w:bottom w:val="single" w:sz="4" w:space="0" w:color="auto"/>
              <w:right w:val="single" w:sz="4" w:space="0" w:color="auto"/>
            </w:tcBorders>
            <w:shd w:val="clear" w:color="auto" w:fill="auto"/>
            <w:noWrap/>
            <w:vAlign w:val="center"/>
            <w:hideMark/>
          </w:tcPr>
          <w:p w14:paraId="7F17750D"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55.1%</w:t>
            </w:r>
          </w:p>
        </w:tc>
        <w:tc>
          <w:tcPr>
            <w:tcW w:w="350" w:type="pct"/>
            <w:tcBorders>
              <w:top w:val="nil"/>
              <w:left w:val="nil"/>
              <w:bottom w:val="single" w:sz="4" w:space="0" w:color="auto"/>
              <w:right w:val="single" w:sz="4" w:space="0" w:color="auto"/>
            </w:tcBorders>
            <w:shd w:val="clear" w:color="auto" w:fill="auto"/>
            <w:noWrap/>
            <w:vAlign w:val="center"/>
            <w:hideMark/>
          </w:tcPr>
          <w:p w14:paraId="41F26397"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4.5%</w:t>
            </w:r>
          </w:p>
        </w:tc>
      </w:tr>
      <w:tr w:rsidR="00EF7EE3" w:rsidRPr="004C1108" w14:paraId="78D1D0C7"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53A73EA9"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English Learners</w:t>
            </w:r>
          </w:p>
        </w:tc>
        <w:tc>
          <w:tcPr>
            <w:tcW w:w="350" w:type="pct"/>
            <w:tcBorders>
              <w:top w:val="nil"/>
              <w:left w:val="nil"/>
              <w:bottom w:val="single" w:sz="4" w:space="0" w:color="auto"/>
              <w:right w:val="single" w:sz="4" w:space="0" w:color="auto"/>
            </w:tcBorders>
            <w:shd w:val="clear" w:color="auto" w:fill="auto"/>
            <w:noWrap/>
            <w:vAlign w:val="center"/>
            <w:hideMark/>
          </w:tcPr>
          <w:p w14:paraId="521BC4EA"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8.4%</w:t>
            </w:r>
          </w:p>
        </w:tc>
        <w:tc>
          <w:tcPr>
            <w:tcW w:w="350" w:type="pct"/>
            <w:tcBorders>
              <w:top w:val="nil"/>
              <w:left w:val="nil"/>
              <w:bottom w:val="single" w:sz="4" w:space="0" w:color="auto"/>
              <w:right w:val="single" w:sz="4" w:space="0" w:color="auto"/>
            </w:tcBorders>
            <w:shd w:val="clear" w:color="auto" w:fill="auto"/>
            <w:noWrap/>
            <w:vAlign w:val="center"/>
            <w:hideMark/>
          </w:tcPr>
          <w:p w14:paraId="0E5E37F3"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12.9%</w:t>
            </w:r>
          </w:p>
        </w:tc>
        <w:tc>
          <w:tcPr>
            <w:tcW w:w="350" w:type="pct"/>
            <w:tcBorders>
              <w:top w:val="nil"/>
              <w:left w:val="nil"/>
              <w:bottom w:val="single" w:sz="4" w:space="0" w:color="auto"/>
              <w:right w:val="single" w:sz="4" w:space="0" w:color="auto"/>
            </w:tcBorders>
            <w:shd w:val="clear" w:color="auto" w:fill="auto"/>
            <w:noWrap/>
            <w:vAlign w:val="center"/>
            <w:hideMark/>
          </w:tcPr>
          <w:p w14:paraId="4F95312E"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17.5%</w:t>
            </w:r>
          </w:p>
        </w:tc>
        <w:tc>
          <w:tcPr>
            <w:tcW w:w="350" w:type="pct"/>
            <w:tcBorders>
              <w:top w:val="nil"/>
              <w:left w:val="nil"/>
              <w:bottom w:val="single" w:sz="4" w:space="0" w:color="auto"/>
              <w:right w:val="single" w:sz="4" w:space="0" w:color="auto"/>
            </w:tcBorders>
            <w:shd w:val="clear" w:color="auto" w:fill="auto"/>
            <w:noWrap/>
            <w:vAlign w:val="center"/>
            <w:hideMark/>
          </w:tcPr>
          <w:p w14:paraId="298C8BA0"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22.1%</w:t>
            </w:r>
          </w:p>
        </w:tc>
        <w:tc>
          <w:tcPr>
            <w:tcW w:w="350" w:type="pct"/>
            <w:tcBorders>
              <w:top w:val="nil"/>
              <w:left w:val="nil"/>
              <w:bottom w:val="single" w:sz="4" w:space="0" w:color="auto"/>
              <w:right w:val="single" w:sz="4" w:space="0" w:color="auto"/>
            </w:tcBorders>
            <w:shd w:val="clear" w:color="auto" w:fill="auto"/>
            <w:noWrap/>
            <w:vAlign w:val="center"/>
            <w:hideMark/>
          </w:tcPr>
          <w:p w14:paraId="0FD551C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26.7%</w:t>
            </w:r>
          </w:p>
        </w:tc>
        <w:tc>
          <w:tcPr>
            <w:tcW w:w="350" w:type="pct"/>
            <w:tcBorders>
              <w:top w:val="nil"/>
              <w:left w:val="nil"/>
              <w:bottom w:val="single" w:sz="4" w:space="0" w:color="auto"/>
              <w:right w:val="single" w:sz="4" w:space="0" w:color="auto"/>
            </w:tcBorders>
            <w:shd w:val="clear" w:color="auto" w:fill="auto"/>
            <w:noWrap/>
            <w:vAlign w:val="center"/>
            <w:hideMark/>
          </w:tcPr>
          <w:p w14:paraId="05AEA17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31.3%</w:t>
            </w:r>
          </w:p>
        </w:tc>
        <w:tc>
          <w:tcPr>
            <w:tcW w:w="350" w:type="pct"/>
            <w:tcBorders>
              <w:top w:val="nil"/>
              <w:left w:val="nil"/>
              <w:bottom w:val="single" w:sz="4" w:space="0" w:color="auto"/>
              <w:right w:val="single" w:sz="4" w:space="0" w:color="auto"/>
            </w:tcBorders>
            <w:shd w:val="clear" w:color="auto" w:fill="auto"/>
            <w:noWrap/>
            <w:vAlign w:val="center"/>
            <w:hideMark/>
          </w:tcPr>
          <w:p w14:paraId="17756D8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35.9%</w:t>
            </w:r>
          </w:p>
        </w:tc>
        <w:tc>
          <w:tcPr>
            <w:tcW w:w="350" w:type="pct"/>
            <w:tcBorders>
              <w:top w:val="nil"/>
              <w:left w:val="nil"/>
              <w:bottom w:val="single" w:sz="4" w:space="0" w:color="auto"/>
              <w:right w:val="single" w:sz="4" w:space="0" w:color="auto"/>
            </w:tcBorders>
            <w:shd w:val="clear" w:color="auto" w:fill="auto"/>
            <w:noWrap/>
            <w:vAlign w:val="center"/>
            <w:hideMark/>
          </w:tcPr>
          <w:p w14:paraId="0EF8CF2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40.4%</w:t>
            </w:r>
          </w:p>
        </w:tc>
        <w:tc>
          <w:tcPr>
            <w:tcW w:w="350" w:type="pct"/>
            <w:tcBorders>
              <w:top w:val="nil"/>
              <w:left w:val="nil"/>
              <w:bottom w:val="single" w:sz="4" w:space="0" w:color="auto"/>
              <w:right w:val="single" w:sz="4" w:space="0" w:color="auto"/>
            </w:tcBorders>
            <w:shd w:val="clear" w:color="auto" w:fill="auto"/>
            <w:noWrap/>
            <w:vAlign w:val="center"/>
            <w:hideMark/>
          </w:tcPr>
          <w:p w14:paraId="7A30F57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45.0%</w:t>
            </w:r>
          </w:p>
        </w:tc>
        <w:tc>
          <w:tcPr>
            <w:tcW w:w="350" w:type="pct"/>
            <w:tcBorders>
              <w:top w:val="nil"/>
              <w:left w:val="nil"/>
              <w:bottom w:val="single" w:sz="4" w:space="0" w:color="auto"/>
              <w:right w:val="single" w:sz="4" w:space="0" w:color="auto"/>
            </w:tcBorders>
            <w:shd w:val="clear" w:color="auto" w:fill="auto"/>
            <w:noWrap/>
            <w:vAlign w:val="center"/>
            <w:hideMark/>
          </w:tcPr>
          <w:p w14:paraId="4344F92B"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49.6%</w:t>
            </w:r>
          </w:p>
        </w:tc>
        <w:tc>
          <w:tcPr>
            <w:tcW w:w="350" w:type="pct"/>
            <w:tcBorders>
              <w:top w:val="nil"/>
              <w:left w:val="nil"/>
              <w:bottom w:val="single" w:sz="4" w:space="0" w:color="auto"/>
              <w:right w:val="single" w:sz="4" w:space="0" w:color="auto"/>
            </w:tcBorders>
            <w:shd w:val="clear" w:color="auto" w:fill="auto"/>
            <w:noWrap/>
            <w:vAlign w:val="center"/>
            <w:hideMark/>
          </w:tcPr>
          <w:p w14:paraId="4817D00C"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54.2%</w:t>
            </w:r>
          </w:p>
        </w:tc>
        <w:tc>
          <w:tcPr>
            <w:tcW w:w="350" w:type="pct"/>
            <w:tcBorders>
              <w:top w:val="nil"/>
              <w:left w:val="nil"/>
              <w:bottom w:val="single" w:sz="4" w:space="0" w:color="auto"/>
              <w:right w:val="single" w:sz="4" w:space="0" w:color="auto"/>
            </w:tcBorders>
            <w:shd w:val="clear" w:color="auto" w:fill="auto"/>
            <w:noWrap/>
            <w:vAlign w:val="center"/>
            <w:hideMark/>
          </w:tcPr>
          <w:p w14:paraId="549525A3"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4.6%</w:t>
            </w:r>
          </w:p>
        </w:tc>
      </w:tr>
      <w:tr w:rsidR="00EF7EE3" w:rsidRPr="004C1108" w14:paraId="4B6B9BFE"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443581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Economically Disadvantaged</w:t>
            </w:r>
          </w:p>
        </w:tc>
        <w:tc>
          <w:tcPr>
            <w:tcW w:w="350" w:type="pct"/>
            <w:tcBorders>
              <w:top w:val="nil"/>
              <w:left w:val="nil"/>
              <w:bottom w:val="single" w:sz="4" w:space="0" w:color="auto"/>
              <w:right w:val="single" w:sz="4" w:space="0" w:color="auto"/>
            </w:tcBorders>
            <w:shd w:val="clear" w:color="auto" w:fill="auto"/>
            <w:noWrap/>
            <w:vAlign w:val="center"/>
            <w:hideMark/>
          </w:tcPr>
          <w:p w14:paraId="4696E5C9"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22.9%</w:t>
            </w:r>
          </w:p>
        </w:tc>
        <w:tc>
          <w:tcPr>
            <w:tcW w:w="350" w:type="pct"/>
            <w:tcBorders>
              <w:top w:val="nil"/>
              <w:left w:val="nil"/>
              <w:bottom w:val="single" w:sz="4" w:space="0" w:color="auto"/>
              <w:right w:val="single" w:sz="4" w:space="0" w:color="auto"/>
            </w:tcBorders>
            <w:shd w:val="clear" w:color="auto" w:fill="auto"/>
            <w:noWrap/>
            <w:vAlign w:val="center"/>
            <w:hideMark/>
          </w:tcPr>
          <w:p w14:paraId="25FA26CA"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26.8%</w:t>
            </w:r>
          </w:p>
        </w:tc>
        <w:tc>
          <w:tcPr>
            <w:tcW w:w="350" w:type="pct"/>
            <w:tcBorders>
              <w:top w:val="nil"/>
              <w:left w:val="nil"/>
              <w:bottom w:val="single" w:sz="4" w:space="0" w:color="auto"/>
              <w:right w:val="single" w:sz="4" w:space="0" w:color="auto"/>
            </w:tcBorders>
            <w:shd w:val="clear" w:color="auto" w:fill="auto"/>
            <w:noWrap/>
            <w:vAlign w:val="center"/>
            <w:hideMark/>
          </w:tcPr>
          <w:p w14:paraId="08AED3E6"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30.6%</w:t>
            </w:r>
          </w:p>
        </w:tc>
        <w:tc>
          <w:tcPr>
            <w:tcW w:w="350" w:type="pct"/>
            <w:tcBorders>
              <w:top w:val="nil"/>
              <w:left w:val="nil"/>
              <w:bottom w:val="single" w:sz="4" w:space="0" w:color="auto"/>
              <w:right w:val="single" w:sz="4" w:space="0" w:color="auto"/>
            </w:tcBorders>
            <w:shd w:val="clear" w:color="auto" w:fill="auto"/>
            <w:noWrap/>
            <w:vAlign w:val="center"/>
            <w:hideMark/>
          </w:tcPr>
          <w:p w14:paraId="3603E118"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34.5%</w:t>
            </w:r>
          </w:p>
        </w:tc>
        <w:tc>
          <w:tcPr>
            <w:tcW w:w="350" w:type="pct"/>
            <w:tcBorders>
              <w:top w:val="nil"/>
              <w:left w:val="nil"/>
              <w:bottom w:val="single" w:sz="4" w:space="0" w:color="auto"/>
              <w:right w:val="single" w:sz="4" w:space="0" w:color="auto"/>
            </w:tcBorders>
            <w:shd w:val="clear" w:color="auto" w:fill="auto"/>
            <w:noWrap/>
            <w:vAlign w:val="center"/>
            <w:hideMark/>
          </w:tcPr>
          <w:p w14:paraId="4DDF149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38.3%</w:t>
            </w:r>
          </w:p>
        </w:tc>
        <w:tc>
          <w:tcPr>
            <w:tcW w:w="350" w:type="pct"/>
            <w:tcBorders>
              <w:top w:val="nil"/>
              <w:left w:val="nil"/>
              <w:bottom w:val="single" w:sz="4" w:space="0" w:color="auto"/>
              <w:right w:val="single" w:sz="4" w:space="0" w:color="auto"/>
            </w:tcBorders>
            <w:shd w:val="clear" w:color="auto" w:fill="auto"/>
            <w:noWrap/>
            <w:vAlign w:val="center"/>
            <w:hideMark/>
          </w:tcPr>
          <w:p w14:paraId="0225812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42.2%</w:t>
            </w:r>
          </w:p>
        </w:tc>
        <w:tc>
          <w:tcPr>
            <w:tcW w:w="350" w:type="pct"/>
            <w:tcBorders>
              <w:top w:val="nil"/>
              <w:left w:val="nil"/>
              <w:bottom w:val="single" w:sz="4" w:space="0" w:color="auto"/>
              <w:right w:val="single" w:sz="4" w:space="0" w:color="auto"/>
            </w:tcBorders>
            <w:shd w:val="clear" w:color="auto" w:fill="auto"/>
            <w:noWrap/>
            <w:vAlign w:val="center"/>
            <w:hideMark/>
          </w:tcPr>
          <w:p w14:paraId="73D98E82"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46.0%</w:t>
            </w:r>
          </w:p>
        </w:tc>
        <w:tc>
          <w:tcPr>
            <w:tcW w:w="350" w:type="pct"/>
            <w:tcBorders>
              <w:top w:val="nil"/>
              <w:left w:val="nil"/>
              <w:bottom w:val="single" w:sz="4" w:space="0" w:color="auto"/>
              <w:right w:val="single" w:sz="4" w:space="0" w:color="auto"/>
            </w:tcBorders>
            <w:shd w:val="clear" w:color="auto" w:fill="auto"/>
            <w:noWrap/>
            <w:vAlign w:val="center"/>
            <w:hideMark/>
          </w:tcPr>
          <w:p w14:paraId="7C3D1865"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49.9%</w:t>
            </w:r>
          </w:p>
        </w:tc>
        <w:tc>
          <w:tcPr>
            <w:tcW w:w="350" w:type="pct"/>
            <w:tcBorders>
              <w:top w:val="nil"/>
              <w:left w:val="nil"/>
              <w:bottom w:val="single" w:sz="4" w:space="0" w:color="auto"/>
              <w:right w:val="single" w:sz="4" w:space="0" w:color="auto"/>
            </w:tcBorders>
            <w:shd w:val="clear" w:color="auto" w:fill="auto"/>
            <w:noWrap/>
            <w:vAlign w:val="center"/>
            <w:hideMark/>
          </w:tcPr>
          <w:p w14:paraId="4EDDE5AF"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53.7%</w:t>
            </w:r>
          </w:p>
        </w:tc>
        <w:tc>
          <w:tcPr>
            <w:tcW w:w="350" w:type="pct"/>
            <w:tcBorders>
              <w:top w:val="nil"/>
              <w:left w:val="nil"/>
              <w:bottom w:val="single" w:sz="4" w:space="0" w:color="auto"/>
              <w:right w:val="single" w:sz="4" w:space="0" w:color="auto"/>
            </w:tcBorders>
            <w:shd w:val="clear" w:color="auto" w:fill="auto"/>
            <w:noWrap/>
            <w:vAlign w:val="center"/>
            <w:hideMark/>
          </w:tcPr>
          <w:p w14:paraId="31C14251" w14:textId="77777777" w:rsidR="00EF7EE3" w:rsidRPr="005E58F6" w:rsidRDefault="00EF7EE3"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57.6%</w:t>
            </w:r>
          </w:p>
        </w:tc>
        <w:tc>
          <w:tcPr>
            <w:tcW w:w="350" w:type="pct"/>
            <w:tcBorders>
              <w:top w:val="nil"/>
              <w:left w:val="nil"/>
              <w:bottom w:val="single" w:sz="4" w:space="0" w:color="auto"/>
              <w:right w:val="single" w:sz="4" w:space="0" w:color="auto"/>
            </w:tcBorders>
            <w:shd w:val="clear" w:color="auto" w:fill="auto"/>
            <w:noWrap/>
            <w:vAlign w:val="center"/>
            <w:hideMark/>
          </w:tcPr>
          <w:p w14:paraId="5E19EBCD" w14:textId="77777777" w:rsidR="00EF7EE3" w:rsidRPr="005E58F6" w:rsidRDefault="00EF7EE3"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61.4%</w:t>
            </w:r>
          </w:p>
        </w:tc>
        <w:tc>
          <w:tcPr>
            <w:tcW w:w="350" w:type="pct"/>
            <w:tcBorders>
              <w:top w:val="nil"/>
              <w:left w:val="nil"/>
              <w:bottom w:val="single" w:sz="4" w:space="0" w:color="auto"/>
              <w:right w:val="single" w:sz="4" w:space="0" w:color="auto"/>
            </w:tcBorders>
            <w:shd w:val="clear" w:color="auto" w:fill="auto"/>
            <w:noWrap/>
            <w:vAlign w:val="center"/>
            <w:hideMark/>
          </w:tcPr>
          <w:p w14:paraId="2377F12A" w14:textId="77777777" w:rsidR="00EF7EE3" w:rsidRPr="005E58F6" w:rsidRDefault="00EF7EE3"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3.9%</w:t>
            </w:r>
          </w:p>
        </w:tc>
      </w:tr>
    </w:tbl>
    <w:p w14:paraId="7236FA55" w14:textId="56A0F6C5" w:rsidR="009838D3" w:rsidRDefault="009838D3" w:rsidP="009838D3">
      <w:pPr>
        <w:rPr>
          <w:b/>
        </w:rPr>
      </w:pPr>
    </w:p>
    <w:p w14:paraId="325C5640" w14:textId="77777777" w:rsidR="009838D3" w:rsidRPr="00406670" w:rsidRDefault="009838D3" w:rsidP="005017F4">
      <w:pPr>
        <w:pStyle w:val="Heading2"/>
      </w:pPr>
      <w:r w:rsidRPr="00406670">
        <w:lastRenderedPageBreak/>
        <w:t>B. Graduation Rates</w:t>
      </w:r>
    </w:p>
    <w:tbl>
      <w:tblPr>
        <w:tblW w:w="5000" w:type="pct"/>
        <w:tblLook w:val="04A0" w:firstRow="1" w:lastRow="0" w:firstColumn="1" w:lastColumn="0" w:noHBand="0" w:noVBand="1"/>
      </w:tblPr>
      <w:tblGrid>
        <w:gridCol w:w="1967"/>
        <w:gridCol w:w="705"/>
        <w:gridCol w:w="585"/>
        <w:gridCol w:w="585"/>
        <w:gridCol w:w="585"/>
        <w:gridCol w:w="585"/>
        <w:gridCol w:w="585"/>
        <w:gridCol w:w="586"/>
        <w:gridCol w:w="586"/>
        <w:gridCol w:w="586"/>
        <w:gridCol w:w="593"/>
        <w:gridCol w:w="586"/>
        <w:gridCol w:w="816"/>
      </w:tblGrid>
      <w:tr w:rsidR="00023591" w:rsidRPr="004C1108" w14:paraId="40A3B406" w14:textId="77777777" w:rsidTr="003556DD">
        <w:trPr>
          <w:trHeight w:val="600"/>
        </w:trPr>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816D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Four-Year Graduation Rate</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0F6E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Baseline</w:t>
            </w:r>
          </w:p>
        </w:tc>
        <w:tc>
          <w:tcPr>
            <w:tcW w:w="3154" w:type="pct"/>
            <w:gridSpan w:val="9"/>
            <w:tcBorders>
              <w:top w:val="single" w:sz="4" w:space="0" w:color="auto"/>
              <w:left w:val="nil"/>
              <w:bottom w:val="single" w:sz="4" w:space="0" w:color="auto"/>
              <w:right w:val="single" w:sz="4" w:space="0" w:color="auto"/>
            </w:tcBorders>
            <w:shd w:val="clear" w:color="auto" w:fill="auto"/>
            <w:vAlign w:val="center"/>
            <w:hideMark/>
          </w:tcPr>
          <w:p w14:paraId="302D73C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Measures of Interim Progress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5ABF9466"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Long-Term Goal</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CF79B"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Annual Increment Needed</w:t>
            </w:r>
          </w:p>
        </w:tc>
      </w:tr>
      <w:tr w:rsidR="00023591" w:rsidRPr="004C1108" w14:paraId="5674D379"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33E254B" w14:textId="77777777" w:rsidR="00023591" w:rsidRPr="005E58F6" w:rsidRDefault="00023591" w:rsidP="003556DD">
            <w:pPr>
              <w:spacing w:after="0" w:line="240" w:lineRule="auto"/>
              <w:rPr>
                <w:rFonts w:ascii="Calibri" w:eastAsia="Times New Roman" w:hAnsi="Calibri" w:cs="Times New Roman"/>
                <w:color w:val="000000"/>
                <w:sz w:val="14"/>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2299A4A" w14:textId="77777777" w:rsidR="00023591" w:rsidRPr="005E58F6" w:rsidRDefault="00023591" w:rsidP="003556DD">
            <w:pPr>
              <w:spacing w:after="0" w:line="240" w:lineRule="auto"/>
              <w:rPr>
                <w:rFonts w:ascii="Calibri" w:eastAsia="Times New Roman" w:hAnsi="Calibri" w:cs="Times New Roman"/>
                <w:b/>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7111063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1</w:t>
            </w:r>
          </w:p>
        </w:tc>
        <w:tc>
          <w:tcPr>
            <w:tcW w:w="350" w:type="pct"/>
            <w:tcBorders>
              <w:top w:val="nil"/>
              <w:left w:val="nil"/>
              <w:bottom w:val="single" w:sz="4" w:space="0" w:color="auto"/>
              <w:right w:val="single" w:sz="4" w:space="0" w:color="auto"/>
            </w:tcBorders>
            <w:shd w:val="clear" w:color="auto" w:fill="auto"/>
            <w:vAlign w:val="center"/>
            <w:hideMark/>
          </w:tcPr>
          <w:p w14:paraId="3529279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2</w:t>
            </w:r>
          </w:p>
        </w:tc>
        <w:tc>
          <w:tcPr>
            <w:tcW w:w="350" w:type="pct"/>
            <w:tcBorders>
              <w:top w:val="nil"/>
              <w:left w:val="nil"/>
              <w:bottom w:val="single" w:sz="4" w:space="0" w:color="auto"/>
              <w:right w:val="single" w:sz="4" w:space="0" w:color="auto"/>
            </w:tcBorders>
            <w:shd w:val="clear" w:color="auto" w:fill="auto"/>
            <w:vAlign w:val="center"/>
            <w:hideMark/>
          </w:tcPr>
          <w:p w14:paraId="06E0354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3</w:t>
            </w:r>
          </w:p>
        </w:tc>
        <w:tc>
          <w:tcPr>
            <w:tcW w:w="350" w:type="pct"/>
            <w:tcBorders>
              <w:top w:val="nil"/>
              <w:left w:val="nil"/>
              <w:bottom w:val="single" w:sz="4" w:space="0" w:color="auto"/>
              <w:right w:val="single" w:sz="4" w:space="0" w:color="auto"/>
            </w:tcBorders>
            <w:shd w:val="clear" w:color="auto" w:fill="auto"/>
            <w:vAlign w:val="center"/>
            <w:hideMark/>
          </w:tcPr>
          <w:p w14:paraId="6269B15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4</w:t>
            </w:r>
          </w:p>
        </w:tc>
        <w:tc>
          <w:tcPr>
            <w:tcW w:w="350" w:type="pct"/>
            <w:tcBorders>
              <w:top w:val="nil"/>
              <w:left w:val="nil"/>
              <w:bottom w:val="single" w:sz="4" w:space="0" w:color="auto"/>
              <w:right w:val="single" w:sz="4" w:space="0" w:color="auto"/>
            </w:tcBorders>
            <w:shd w:val="clear" w:color="auto" w:fill="auto"/>
            <w:vAlign w:val="center"/>
            <w:hideMark/>
          </w:tcPr>
          <w:p w14:paraId="0BC49BA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5</w:t>
            </w:r>
          </w:p>
        </w:tc>
        <w:tc>
          <w:tcPr>
            <w:tcW w:w="350" w:type="pct"/>
            <w:tcBorders>
              <w:top w:val="nil"/>
              <w:left w:val="nil"/>
              <w:bottom w:val="single" w:sz="4" w:space="0" w:color="auto"/>
              <w:right w:val="single" w:sz="4" w:space="0" w:color="auto"/>
            </w:tcBorders>
            <w:shd w:val="clear" w:color="auto" w:fill="auto"/>
            <w:vAlign w:val="center"/>
            <w:hideMark/>
          </w:tcPr>
          <w:p w14:paraId="109397E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6</w:t>
            </w:r>
          </w:p>
        </w:tc>
        <w:tc>
          <w:tcPr>
            <w:tcW w:w="350" w:type="pct"/>
            <w:tcBorders>
              <w:top w:val="nil"/>
              <w:left w:val="nil"/>
              <w:bottom w:val="single" w:sz="4" w:space="0" w:color="auto"/>
              <w:right w:val="single" w:sz="4" w:space="0" w:color="auto"/>
            </w:tcBorders>
            <w:shd w:val="clear" w:color="auto" w:fill="auto"/>
            <w:vAlign w:val="center"/>
            <w:hideMark/>
          </w:tcPr>
          <w:p w14:paraId="0938458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7</w:t>
            </w:r>
          </w:p>
        </w:tc>
        <w:tc>
          <w:tcPr>
            <w:tcW w:w="350" w:type="pct"/>
            <w:tcBorders>
              <w:top w:val="nil"/>
              <w:left w:val="nil"/>
              <w:bottom w:val="single" w:sz="4" w:space="0" w:color="auto"/>
              <w:right w:val="single" w:sz="4" w:space="0" w:color="auto"/>
            </w:tcBorders>
            <w:shd w:val="clear" w:color="auto" w:fill="auto"/>
            <w:vAlign w:val="center"/>
            <w:hideMark/>
          </w:tcPr>
          <w:p w14:paraId="4ED00B2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8</w:t>
            </w:r>
          </w:p>
        </w:tc>
        <w:tc>
          <w:tcPr>
            <w:tcW w:w="350" w:type="pct"/>
            <w:tcBorders>
              <w:top w:val="nil"/>
              <w:left w:val="nil"/>
              <w:bottom w:val="single" w:sz="4" w:space="0" w:color="auto"/>
              <w:right w:val="single" w:sz="4" w:space="0" w:color="auto"/>
            </w:tcBorders>
            <w:shd w:val="clear" w:color="auto" w:fill="auto"/>
            <w:vAlign w:val="center"/>
            <w:hideMark/>
          </w:tcPr>
          <w:p w14:paraId="1E47EEF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9</w:t>
            </w:r>
          </w:p>
        </w:tc>
        <w:tc>
          <w:tcPr>
            <w:tcW w:w="350" w:type="pct"/>
            <w:tcBorders>
              <w:top w:val="nil"/>
              <w:left w:val="nil"/>
              <w:bottom w:val="single" w:sz="4" w:space="0" w:color="auto"/>
              <w:right w:val="single" w:sz="4" w:space="0" w:color="auto"/>
            </w:tcBorders>
            <w:shd w:val="clear" w:color="auto" w:fill="auto"/>
            <w:vAlign w:val="center"/>
            <w:hideMark/>
          </w:tcPr>
          <w:p w14:paraId="48A67A5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Year 10</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5B0B0A1" w14:textId="77777777" w:rsidR="00023591" w:rsidRPr="005E58F6" w:rsidRDefault="00023591" w:rsidP="003556DD">
            <w:pPr>
              <w:spacing w:after="0" w:line="240" w:lineRule="auto"/>
              <w:rPr>
                <w:rFonts w:ascii="Calibri" w:eastAsia="Times New Roman" w:hAnsi="Calibri" w:cs="Times New Roman"/>
                <w:b/>
                <w:color w:val="FF0000"/>
                <w:sz w:val="14"/>
              </w:rPr>
            </w:pPr>
          </w:p>
        </w:tc>
      </w:tr>
      <w:tr w:rsidR="00023591" w:rsidRPr="004C1108" w14:paraId="449D3C68"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AE1B1A1" w14:textId="77777777" w:rsidR="00023591" w:rsidRPr="005E58F6" w:rsidRDefault="00023591" w:rsidP="003556DD">
            <w:pPr>
              <w:spacing w:after="0" w:line="240" w:lineRule="auto"/>
              <w:rPr>
                <w:rFonts w:ascii="Calibri" w:eastAsia="Times New Roman" w:hAnsi="Calibri" w:cs="Times New Roman"/>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1F68642D"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2016-2017</w:t>
            </w:r>
          </w:p>
        </w:tc>
        <w:tc>
          <w:tcPr>
            <w:tcW w:w="350" w:type="pct"/>
            <w:tcBorders>
              <w:top w:val="nil"/>
              <w:left w:val="nil"/>
              <w:bottom w:val="single" w:sz="4" w:space="0" w:color="auto"/>
              <w:right w:val="single" w:sz="4" w:space="0" w:color="auto"/>
            </w:tcBorders>
            <w:shd w:val="clear" w:color="auto" w:fill="auto"/>
            <w:vAlign w:val="center"/>
            <w:hideMark/>
          </w:tcPr>
          <w:p w14:paraId="02D7E16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2017-2018</w:t>
            </w:r>
          </w:p>
        </w:tc>
        <w:tc>
          <w:tcPr>
            <w:tcW w:w="350" w:type="pct"/>
            <w:tcBorders>
              <w:top w:val="nil"/>
              <w:left w:val="nil"/>
              <w:bottom w:val="single" w:sz="4" w:space="0" w:color="auto"/>
              <w:right w:val="single" w:sz="4" w:space="0" w:color="auto"/>
            </w:tcBorders>
            <w:shd w:val="clear" w:color="auto" w:fill="auto"/>
            <w:vAlign w:val="center"/>
            <w:hideMark/>
          </w:tcPr>
          <w:p w14:paraId="2EEED1B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2018-2019</w:t>
            </w:r>
          </w:p>
        </w:tc>
        <w:tc>
          <w:tcPr>
            <w:tcW w:w="350" w:type="pct"/>
            <w:tcBorders>
              <w:top w:val="nil"/>
              <w:left w:val="nil"/>
              <w:bottom w:val="single" w:sz="4" w:space="0" w:color="auto"/>
              <w:right w:val="single" w:sz="4" w:space="0" w:color="auto"/>
            </w:tcBorders>
            <w:shd w:val="clear" w:color="auto" w:fill="auto"/>
            <w:vAlign w:val="center"/>
            <w:hideMark/>
          </w:tcPr>
          <w:p w14:paraId="1AF0DE5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2019-2020</w:t>
            </w:r>
          </w:p>
        </w:tc>
        <w:tc>
          <w:tcPr>
            <w:tcW w:w="350" w:type="pct"/>
            <w:tcBorders>
              <w:top w:val="nil"/>
              <w:left w:val="nil"/>
              <w:bottom w:val="single" w:sz="4" w:space="0" w:color="auto"/>
              <w:right w:val="single" w:sz="4" w:space="0" w:color="auto"/>
            </w:tcBorders>
            <w:shd w:val="clear" w:color="auto" w:fill="auto"/>
            <w:vAlign w:val="center"/>
            <w:hideMark/>
          </w:tcPr>
          <w:p w14:paraId="258D525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2020-2021</w:t>
            </w:r>
          </w:p>
        </w:tc>
        <w:tc>
          <w:tcPr>
            <w:tcW w:w="350" w:type="pct"/>
            <w:tcBorders>
              <w:top w:val="nil"/>
              <w:left w:val="nil"/>
              <w:bottom w:val="single" w:sz="4" w:space="0" w:color="auto"/>
              <w:right w:val="single" w:sz="4" w:space="0" w:color="auto"/>
            </w:tcBorders>
            <w:shd w:val="clear" w:color="auto" w:fill="auto"/>
            <w:vAlign w:val="center"/>
            <w:hideMark/>
          </w:tcPr>
          <w:p w14:paraId="399CC50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2021-2022</w:t>
            </w:r>
          </w:p>
        </w:tc>
        <w:tc>
          <w:tcPr>
            <w:tcW w:w="350" w:type="pct"/>
            <w:tcBorders>
              <w:top w:val="nil"/>
              <w:left w:val="nil"/>
              <w:bottom w:val="single" w:sz="4" w:space="0" w:color="auto"/>
              <w:right w:val="single" w:sz="4" w:space="0" w:color="auto"/>
            </w:tcBorders>
            <w:shd w:val="clear" w:color="auto" w:fill="auto"/>
            <w:vAlign w:val="center"/>
            <w:hideMark/>
          </w:tcPr>
          <w:p w14:paraId="4E40375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2022-2023</w:t>
            </w:r>
          </w:p>
        </w:tc>
        <w:tc>
          <w:tcPr>
            <w:tcW w:w="350" w:type="pct"/>
            <w:tcBorders>
              <w:top w:val="nil"/>
              <w:left w:val="nil"/>
              <w:bottom w:val="single" w:sz="4" w:space="0" w:color="auto"/>
              <w:right w:val="single" w:sz="4" w:space="0" w:color="auto"/>
            </w:tcBorders>
            <w:shd w:val="clear" w:color="auto" w:fill="auto"/>
            <w:vAlign w:val="center"/>
            <w:hideMark/>
          </w:tcPr>
          <w:p w14:paraId="109830F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2023-2024</w:t>
            </w:r>
          </w:p>
        </w:tc>
        <w:tc>
          <w:tcPr>
            <w:tcW w:w="350" w:type="pct"/>
            <w:tcBorders>
              <w:top w:val="nil"/>
              <w:left w:val="nil"/>
              <w:bottom w:val="single" w:sz="4" w:space="0" w:color="auto"/>
              <w:right w:val="single" w:sz="4" w:space="0" w:color="auto"/>
            </w:tcBorders>
            <w:shd w:val="clear" w:color="auto" w:fill="auto"/>
            <w:vAlign w:val="center"/>
            <w:hideMark/>
          </w:tcPr>
          <w:p w14:paraId="399A5EB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2024-2025</w:t>
            </w:r>
          </w:p>
        </w:tc>
        <w:tc>
          <w:tcPr>
            <w:tcW w:w="350" w:type="pct"/>
            <w:tcBorders>
              <w:top w:val="nil"/>
              <w:left w:val="nil"/>
              <w:bottom w:val="single" w:sz="4" w:space="0" w:color="auto"/>
              <w:right w:val="single" w:sz="4" w:space="0" w:color="auto"/>
            </w:tcBorders>
            <w:shd w:val="clear" w:color="auto" w:fill="auto"/>
            <w:vAlign w:val="center"/>
            <w:hideMark/>
          </w:tcPr>
          <w:p w14:paraId="722FC80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2025-2026</w:t>
            </w:r>
          </w:p>
        </w:tc>
        <w:tc>
          <w:tcPr>
            <w:tcW w:w="350" w:type="pct"/>
            <w:tcBorders>
              <w:top w:val="nil"/>
              <w:left w:val="nil"/>
              <w:bottom w:val="single" w:sz="4" w:space="0" w:color="auto"/>
              <w:right w:val="single" w:sz="4" w:space="0" w:color="auto"/>
            </w:tcBorders>
            <w:shd w:val="clear" w:color="auto" w:fill="auto"/>
            <w:vAlign w:val="center"/>
            <w:hideMark/>
          </w:tcPr>
          <w:p w14:paraId="2E189313"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2026-2027</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FCF091B" w14:textId="77777777" w:rsidR="00023591" w:rsidRPr="005E58F6" w:rsidRDefault="00023591" w:rsidP="003556DD">
            <w:pPr>
              <w:spacing w:after="0" w:line="240" w:lineRule="auto"/>
              <w:rPr>
                <w:rFonts w:ascii="Calibri" w:eastAsia="Times New Roman" w:hAnsi="Calibri" w:cs="Times New Roman"/>
                <w:b/>
                <w:color w:val="FF0000"/>
                <w:sz w:val="14"/>
              </w:rPr>
            </w:pPr>
          </w:p>
        </w:tc>
      </w:tr>
      <w:tr w:rsidR="00023591" w:rsidRPr="004C1108" w14:paraId="1B24BEE1"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5F23355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All students</w:t>
            </w:r>
          </w:p>
        </w:tc>
        <w:tc>
          <w:tcPr>
            <w:tcW w:w="350" w:type="pct"/>
            <w:tcBorders>
              <w:top w:val="nil"/>
              <w:left w:val="nil"/>
              <w:bottom w:val="single" w:sz="4" w:space="0" w:color="auto"/>
              <w:right w:val="single" w:sz="4" w:space="0" w:color="auto"/>
            </w:tcBorders>
            <w:shd w:val="clear" w:color="auto" w:fill="auto"/>
            <w:noWrap/>
            <w:vAlign w:val="center"/>
            <w:hideMark/>
          </w:tcPr>
          <w:p w14:paraId="64C19F4C"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78.2%</w:t>
            </w:r>
          </w:p>
        </w:tc>
        <w:tc>
          <w:tcPr>
            <w:tcW w:w="350" w:type="pct"/>
            <w:tcBorders>
              <w:top w:val="nil"/>
              <w:left w:val="nil"/>
              <w:bottom w:val="single" w:sz="4" w:space="0" w:color="auto"/>
              <w:right w:val="single" w:sz="4" w:space="0" w:color="auto"/>
            </w:tcBorders>
            <w:shd w:val="clear" w:color="auto" w:fill="auto"/>
            <w:noWrap/>
            <w:vAlign w:val="center"/>
            <w:hideMark/>
          </w:tcPr>
          <w:p w14:paraId="730900E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79.4%</w:t>
            </w:r>
          </w:p>
        </w:tc>
        <w:tc>
          <w:tcPr>
            <w:tcW w:w="350" w:type="pct"/>
            <w:tcBorders>
              <w:top w:val="nil"/>
              <w:left w:val="nil"/>
              <w:bottom w:val="single" w:sz="4" w:space="0" w:color="auto"/>
              <w:right w:val="single" w:sz="4" w:space="0" w:color="auto"/>
            </w:tcBorders>
            <w:shd w:val="clear" w:color="auto" w:fill="auto"/>
            <w:noWrap/>
            <w:vAlign w:val="center"/>
            <w:hideMark/>
          </w:tcPr>
          <w:p w14:paraId="3B744CA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80.6%</w:t>
            </w:r>
          </w:p>
        </w:tc>
        <w:tc>
          <w:tcPr>
            <w:tcW w:w="350" w:type="pct"/>
            <w:tcBorders>
              <w:top w:val="nil"/>
              <w:left w:val="nil"/>
              <w:bottom w:val="single" w:sz="4" w:space="0" w:color="auto"/>
              <w:right w:val="single" w:sz="4" w:space="0" w:color="auto"/>
            </w:tcBorders>
            <w:shd w:val="clear" w:color="auto" w:fill="auto"/>
            <w:noWrap/>
            <w:vAlign w:val="center"/>
            <w:hideMark/>
          </w:tcPr>
          <w:p w14:paraId="77AE498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81.8%</w:t>
            </w:r>
          </w:p>
        </w:tc>
        <w:tc>
          <w:tcPr>
            <w:tcW w:w="350" w:type="pct"/>
            <w:tcBorders>
              <w:top w:val="nil"/>
              <w:left w:val="nil"/>
              <w:bottom w:val="single" w:sz="4" w:space="0" w:color="auto"/>
              <w:right w:val="single" w:sz="4" w:space="0" w:color="auto"/>
            </w:tcBorders>
            <w:shd w:val="clear" w:color="auto" w:fill="auto"/>
            <w:noWrap/>
            <w:vAlign w:val="center"/>
            <w:hideMark/>
          </w:tcPr>
          <w:p w14:paraId="7446F70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82.9%</w:t>
            </w:r>
          </w:p>
        </w:tc>
        <w:tc>
          <w:tcPr>
            <w:tcW w:w="350" w:type="pct"/>
            <w:tcBorders>
              <w:top w:val="nil"/>
              <w:left w:val="nil"/>
              <w:bottom w:val="single" w:sz="4" w:space="0" w:color="auto"/>
              <w:right w:val="single" w:sz="4" w:space="0" w:color="auto"/>
            </w:tcBorders>
            <w:shd w:val="clear" w:color="auto" w:fill="auto"/>
            <w:noWrap/>
            <w:vAlign w:val="center"/>
            <w:hideMark/>
          </w:tcPr>
          <w:p w14:paraId="6180FDF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84.1%</w:t>
            </w:r>
          </w:p>
        </w:tc>
        <w:tc>
          <w:tcPr>
            <w:tcW w:w="350" w:type="pct"/>
            <w:tcBorders>
              <w:top w:val="nil"/>
              <w:left w:val="nil"/>
              <w:bottom w:val="single" w:sz="4" w:space="0" w:color="auto"/>
              <w:right w:val="single" w:sz="4" w:space="0" w:color="auto"/>
            </w:tcBorders>
            <w:shd w:val="clear" w:color="auto" w:fill="auto"/>
            <w:noWrap/>
            <w:vAlign w:val="center"/>
            <w:hideMark/>
          </w:tcPr>
          <w:p w14:paraId="2C9B24B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85.3%</w:t>
            </w:r>
          </w:p>
        </w:tc>
        <w:tc>
          <w:tcPr>
            <w:tcW w:w="350" w:type="pct"/>
            <w:tcBorders>
              <w:top w:val="nil"/>
              <w:left w:val="nil"/>
              <w:bottom w:val="single" w:sz="4" w:space="0" w:color="auto"/>
              <w:right w:val="single" w:sz="4" w:space="0" w:color="auto"/>
            </w:tcBorders>
            <w:shd w:val="clear" w:color="auto" w:fill="auto"/>
            <w:noWrap/>
            <w:vAlign w:val="center"/>
            <w:hideMark/>
          </w:tcPr>
          <w:p w14:paraId="56DCB80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86.5%</w:t>
            </w:r>
          </w:p>
        </w:tc>
        <w:tc>
          <w:tcPr>
            <w:tcW w:w="350" w:type="pct"/>
            <w:tcBorders>
              <w:top w:val="nil"/>
              <w:left w:val="nil"/>
              <w:bottom w:val="single" w:sz="4" w:space="0" w:color="auto"/>
              <w:right w:val="single" w:sz="4" w:space="0" w:color="auto"/>
            </w:tcBorders>
            <w:shd w:val="clear" w:color="auto" w:fill="auto"/>
            <w:noWrap/>
            <w:vAlign w:val="center"/>
            <w:hideMark/>
          </w:tcPr>
          <w:p w14:paraId="6C8DCBA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87.6%</w:t>
            </w:r>
          </w:p>
        </w:tc>
        <w:tc>
          <w:tcPr>
            <w:tcW w:w="350" w:type="pct"/>
            <w:tcBorders>
              <w:top w:val="nil"/>
              <w:left w:val="nil"/>
              <w:bottom w:val="single" w:sz="4" w:space="0" w:color="auto"/>
              <w:right w:val="single" w:sz="4" w:space="0" w:color="auto"/>
            </w:tcBorders>
            <w:shd w:val="clear" w:color="auto" w:fill="auto"/>
            <w:noWrap/>
            <w:vAlign w:val="center"/>
            <w:hideMark/>
          </w:tcPr>
          <w:p w14:paraId="16CB767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88.8%</w:t>
            </w:r>
          </w:p>
        </w:tc>
        <w:tc>
          <w:tcPr>
            <w:tcW w:w="350" w:type="pct"/>
            <w:tcBorders>
              <w:top w:val="nil"/>
              <w:left w:val="nil"/>
              <w:bottom w:val="single" w:sz="4" w:space="0" w:color="auto"/>
              <w:right w:val="single" w:sz="4" w:space="0" w:color="auto"/>
            </w:tcBorders>
            <w:shd w:val="clear" w:color="auto" w:fill="auto"/>
            <w:noWrap/>
            <w:vAlign w:val="center"/>
            <w:hideMark/>
          </w:tcPr>
          <w:p w14:paraId="168CFCDE"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39CD7C42"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1.2%</w:t>
            </w:r>
          </w:p>
        </w:tc>
      </w:tr>
      <w:tr w:rsidR="00023591" w:rsidRPr="004C1108" w14:paraId="732EFE7D"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BBB7B7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African American</w:t>
            </w:r>
          </w:p>
        </w:tc>
        <w:tc>
          <w:tcPr>
            <w:tcW w:w="350" w:type="pct"/>
            <w:tcBorders>
              <w:top w:val="nil"/>
              <w:left w:val="nil"/>
              <w:bottom w:val="single" w:sz="4" w:space="0" w:color="auto"/>
              <w:right w:val="single" w:sz="4" w:space="0" w:color="auto"/>
            </w:tcBorders>
            <w:shd w:val="clear" w:color="auto" w:fill="auto"/>
            <w:noWrap/>
            <w:vAlign w:val="center"/>
            <w:hideMark/>
          </w:tcPr>
          <w:p w14:paraId="127CEAF0"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73.9%</w:t>
            </w:r>
          </w:p>
        </w:tc>
        <w:tc>
          <w:tcPr>
            <w:tcW w:w="350" w:type="pct"/>
            <w:tcBorders>
              <w:top w:val="nil"/>
              <w:left w:val="nil"/>
              <w:bottom w:val="single" w:sz="4" w:space="0" w:color="auto"/>
              <w:right w:val="single" w:sz="4" w:space="0" w:color="auto"/>
            </w:tcBorders>
            <w:shd w:val="clear" w:color="auto" w:fill="auto"/>
            <w:noWrap/>
            <w:vAlign w:val="center"/>
            <w:hideMark/>
          </w:tcPr>
          <w:p w14:paraId="5D4DB72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75.5%</w:t>
            </w:r>
          </w:p>
        </w:tc>
        <w:tc>
          <w:tcPr>
            <w:tcW w:w="350" w:type="pct"/>
            <w:tcBorders>
              <w:top w:val="nil"/>
              <w:left w:val="nil"/>
              <w:bottom w:val="single" w:sz="4" w:space="0" w:color="auto"/>
              <w:right w:val="single" w:sz="4" w:space="0" w:color="auto"/>
            </w:tcBorders>
            <w:shd w:val="clear" w:color="auto" w:fill="auto"/>
            <w:noWrap/>
            <w:vAlign w:val="center"/>
            <w:hideMark/>
          </w:tcPr>
          <w:p w14:paraId="0978355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77.1%</w:t>
            </w:r>
          </w:p>
        </w:tc>
        <w:tc>
          <w:tcPr>
            <w:tcW w:w="350" w:type="pct"/>
            <w:tcBorders>
              <w:top w:val="nil"/>
              <w:left w:val="nil"/>
              <w:bottom w:val="single" w:sz="4" w:space="0" w:color="auto"/>
              <w:right w:val="single" w:sz="4" w:space="0" w:color="auto"/>
            </w:tcBorders>
            <w:shd w:val="clear" w:color="auto" w:fill="auto"/>
            <w:noWrap/>
            <w:vAlign w:val="center"/>
            <w:hideMark/>
          </w:tcPr>
          <w:p w14:paraId="63A2890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78.7%</w:t>
            </w:r>
          </w:p>
        </w:tc>
        <w:tc>
          <w:tcPr>
            <w:tcW w:w="350" w:type="pct"/>
            <w:tcBorders>
              <w:top w:val="nil"/>
              <w:left w:val="nil"/>
              <w:bottom w:val="single" w:sz="4" w:space="0" w:color="auto"/>
              <w:right w:val="single" w:sz="4" w:space="0" w:color="auto"/>
            </w:tcBorders>
            <w:shd w:val="clear" w:color="auto" w:fill="auto"/>
            <w:noWrap/>
            <w:vAlign w:val="center"/>
            <w:hideMark/>
          </w:tcPr>
          <w:p w14:paraId="6D70474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80.3%</w:t>
            </w:r>
          </w:p>
        </w:tc>
        <w:tc>
          <w:tcPr>
            <w:tcW w:w="350" w:type="pct"/>
            <w:tcBorders>
              <w:top w:val="nil"/>
              <w:left w:val="nil"/>
              <w:bottom w:val="single" w:sz="4" w:space="0" w:color="auto"/>
              <w:right w:val="single" w:sz="4" w:space="0" w:color="auto"/>
            </w:tcBorders>
            <w:shd w:val="clear" w:color="auto" w:fill="auto"/>
            <w:noWrap/>
            <w:vAlign w:val="center"/>
            <w:hideMark/>
          </w:tcPr>
          <w:p w14:paraId="076C732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81.9%</w:t>
            </w:r>
          </w:p>
        </w:tc>
        <w:tc>
          <w:tcPr>
            <w:tcW w:w="350" w:type="pct"/>
            <w:tcBorders>
              <w:top w:val="nil"/>
              <w:left w:val="nil"/>
              <w:bottom w:val="single" w:sz="4" w:space="0" w:color="auto"/>
              <w:right w:val="single" w:sz="4" w:space="0" w:color="auto"/>
            </w:tcBorders>
            <w:shd w:val="clear" w:color="auto" w:fill="auto"/>
            <w:noWrap/>
            <w:vAlign w:val="center"/>
            <w:hideMark/>
          </w:tcPr>
          <w:p w14:paraId="668A3D5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83.5%</w:t>
            </w:r>
          </w:p>
        </w:tc>
        <w:tc>
          <w:tcPr>
            <w:tcW w:w="350" w:type="pct"/>
            <w:tcBorders>
              <w:top w:val="nil"/>
              <w:left w:val="nil"/>
              <w:bottom w:val="single" w:sz="4" w:space="0" w:color="auto"/>
              <w:right w:val="single" w:sz="4" w:space="0" w:color="auto"/>
            </w:tcBorders>
            <w:shd w:val="clear" w:color="auto" w:fill="auto"/>
            <w:noWrap/>
            <w:vAlign w:val="center"/>
            <w:hideMark/>
          </w:tcPr>
          <w:p w14:paraId="6060FA5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85.2%</w:t>
            </w:r>
          </w:p>
        </w:tc>
        <w:tc>
          <w:tcPr>
            <w:tcW w:w="350" w:type="pct"/>
            <w:tcBorders>
              <w:top w:val="nil"/>
              <w:left w:val="nil"/>
              <w:bottom w:val="single" w:sz="4" w:space="0" w:color="auto"/>
              <w:right w:val="single" w:sz="4" w:space="0" w:color="auto"/>
            </w:tcBorders>
            <w:shd w:val="clear" w:color="auto" w:fill="auto"/>
            <w:noWrap/>
            <w:vAlign w:val="center"/>
            <w:hideMark/>
          </w:tcPr>
          <w:p w14:paraId="0370C87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86.8%</w:t>
            </w:r>
          </w:p>
        </w:tc>
        <w:tc>
          <w:tcPr>
            <w:tcW w:w="350" w:type="pct"/>
            <w:tcBorders>
              <w:top w:val="nil"/>
              <w:left w:val="nil"/>
              <w:bottom w:val="single" w:sz="4" w:space="0" w:color="auto"/>
              <w:right w:val="single" w:sz="4" w:space="0" w:color="auto"/>
            </w:tcBorders>
            <w:shd w:val="clear" w:color="auto" w:fill="auto"/>
            <w:noWrap/>
            <w:vAlign w:val="center"/>
            <w:hideMark/>
          </w:tcPr>
          <w:p w14:paraId="18C7C73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88.4%</w:t>
            </w:r>
          </w:p>
        </w:tc>
        <w:tc>
          <w:tcPr>
            <w:tcW w:w="350" w:type="pct"/>
            <w:tcBorders>
              <w:top w:val="nil"/>
              <w:left w:val="nil"/>
              <w:bottom w:val="single" w:sz="4" w:space="0" w:color="auto"/>
              <w:right w:val="single" w:sz="4" w:space="0" w:color="auto"/>
            </w:tcBorders>
            <w:shd w:val="clear" w:color="auto" w:fill="auto"/>
            <w:noWrap/>
            <w:vAlign w:val="center"/>
            <w:hideMark/>
          </w:tcPr>
          <w:p w14:paraId="43333D9C"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1FCF6A55"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1.6%</w:t>
            </w:r>
          </w:p>
        </w:tc>
      </w:tr>
      <w:tr w:rsidR="00023591" w:rsidRPr="004C1108" w14:paraId="2B227D57"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CE609C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Alaska Native/American Indian</w:t>
            </w:r>
          </w:p>
        </w:tc>
        <w:tc>
          <w:tcPr>
            <w:tcW w:w="350" w:type="pct"/>
            <w:tcBorders>
              <w:top w:val="nil"/>
              <w:left w:val="nil"/>
              <w:bottom w:val="single" w:sz="4" w:space="0" w:color="auto"/>
              <w:right w:val="single" w:sz="4" w:space="0" w:color="auto"/>
            </w:tcBorders>
            <w:shd w:val="clear" w:color="auto" w:fill="auto"/>
            <w:noWrap/>
            <w:vAlign w:val="center"/>
            <w:hideMark/>
          </w:tcPr>
          <w:p w14:paraId="5012079C"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68.9%</w:t>
            </w:r>
          </w:p>
        </w:tc>
        <w:tc>
          <w:tcPr>
            <w:tcW w:w="350" w:type="pct"/>
            <w:tcBorders>
              <w:top w:val="nil"/>
              <w:left w:val="nil"/>
              <w:bottom w:val="single" w:sz="4" w:space="0" w:color="auto"/>
              <w:right w:val="single" w:sz="4" w:space="0" w:color="auto"/>
            </w:tcBorders>
            <w:shd w:val="clear" w:color="auto" w:fill="auto"/>
            <w:noWrap/>
            <w:vAlign w:val="center"/>
            <w:hideMark/>
          </w:tcPr>
          <w:p w14:paraId="5EBAD04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71.0%</w:t>
            </w:r>
          </w:p>
        </w:tc>
        <w:tc>
          <w:tcPr>
            <w:tcW w:w="350" w:type="pct"/>
            <w:tcBorders>
              <w:top w:val="nil"/>
              <w:left w:val="nil"/>
              <w:bottom w:val="single" w:sz="4" w:space="0" w:color="auto"/>
              <w:right w:val="single" w:sz="4" w:space="0" w:color="auto"/>
            </w:tcBorders>
            <w:shd w:val="clear" w:color="auto" w:fill="auto"/>
            <w:noWrap/>
            <w:vAlign w:val="center"/>
            <w:hideMark/>
          </w:tcPr>
          <w:p w14:paraId="3FD5F1A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73.1%</w:t>
            </w:r>
          </w:p>
        </w:tc>
        <w:tc>
          <w:tcPr>
            <w:tcW w:w="350" w:type="pct"/>
            <w:tcBorders>
              <w:top w:val="nil"/>
              <w:left w:val="nil"/>
              <w:bottom w:val="single" w:sz="4" w:space="0" w:color="auto"/>
              <w:right w:val="single" w:sz="4" w:space="0" w:color="auto"/>
            </w:tcBorders>
            <w:shd w:val="clear" w:color="auto" w:fill="auto"/>
            <w:noWrap/>
            <w:vAlign w:val="center"/>
            <w:hideMark/>
          </w:tcPr>
          <w:p w14:paraId="0DA3E7F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75.2%</w:t>
            </w:r>
          </w:p>
        </w:tc>
        <w:tc>
          <w:tcPr>
            <w:tcW w:w="350" w:type="pct"/>
            <w:tcBorders>
              <w:top w:val="nil"/>
              <w:left w:val="nil"/>
              <w:bottom w:val="single" w:sz="4" w:space="0" w:color="auto"/>
              <w:right w:val="single" w:sz="4" w:space="0" w:color="auto"/>
            </w:tcBorders>
            <w:shd w:val="clear" w:color="auto" w:fill="auto"/>
            <w:noWrap/>
            <w:vAlign w:val="center"/>
            <w:hideMark/>
          </w:tcPr>
          <w:p w14:paraId="64078C5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77.3%</w:t>
            </w:r>
          </w:p>
        </w:tc>
        <w:tc>
          <w:tcPr>
            <w:tcW w:w="350" w:type="pct"/>
            <w:tcBorders>
              <w:top w:val="nil"/>
              <w:left w:val="nil"/>
              <w:bottom w:val="single" w:sz="4" w:space="0" w:color="auto"/>
              <w:right w:val="single" w:sz="4" w:space="0" w:color="auto"/>
            </w:tcBorders>
            <w:shd w:val="clear" w:color="auto" w:fill="auto"/>
            <w:noWrap/>
            <w:vAlign w:val="center"/>
            <w:hideMark/>
          </w:tcPr>
          <w:p w14:paraId="10A068C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79.4%</w:t>
            </w:r>
          </w:p>
        </w:tc>
        <w:tc>
          <w:tcPr>
            <w:tcW w:w="350" w:type="pct"/>
            <w:tcBorders>
              <w:top w:val="nil"/>
              <w:left w:val="nil"/>
              <w:bottom w:val="single" w:sz="4" w:space="0" w:color="auto"/>
              <w:right w:val="single" w:sz="4" w:space="0" w:color="auto"/>
            </w:tcBorders>
            <w:shd w:val="clear" w:color="auto" w:fill="auto"/>
            <w:noWrap/>
            <w:vAlign w:val="center"/>
            <w:hideMark/>
          </w:tcPr>
          <w:p w14:paraId="74E0A5C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81.6%</w:t>
            </w:r>
          </w:p>
        </w:tc>
        <w:tc>
          <w:tcPr>
            <w:tcW w:w="350" w:type="pct"/>
            <w:tcBorders>
              <w:top w:val="nil"/>
              <w:left w:val="nil"/>
              <w:bottom w:val="single" w:sz="4" w:space="0" w:color="auto"/>
              <w:right w:val="single" w:sz="4" w:space="0" w:color="auto"/>
            </w:tcBorders>
            <w:shd w:val="clear" w:color="auto" w:fill="auto"/>
            <w:noWrap/>
            <w:vAlign w:val="center"/>
            <w:hideMark/>
          </w:tcPr>
          <w:p w14:paraId="6945D84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3787132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85.8%</w:t>
            </w:r>
          </w:p>
        </w:tc>
        <w:tc>
          <w:tcPr>
            <w:tcW w:w="350" w:type="pct"/>
            <w:tcBorders>
              <w:top w:val="nil"/>
              <w:left w:val="nil"/>
              <w:bottom w:val="single" w:sz="4" w:space="0" w:color="auto"/>
              <w:right w:val="single" w:sz="4" w:space="0" w:color="auto"/>
            </w:tcBorders>
            <w:shd w:val="clear" w:color="auto" w:fill="auto"/>
            <w:noWrap/>
            <w:vAlign w:val="center"/>
            <w:hideMark/>
          </w:tcPr>
          <w:p w14:paraId="53F6A69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87.9%</w:t>
            </w:r>
          </w:p>
        </w:tc>
        <w:tc>
          <w:tcPr>
            <w:tcW w:w="350" w:type="pct"/>
            <w:tcBorders>
              <w:top w:val="nil"/>
              <w:left w:val="nil"/>
              <w:bottom w:val="single" w:sz="4" w:space="0" w:color="auto"/>
              <w:right w:val="single" w:sz="4" w:space="0" w:color="auto"/>
            </w:tcBorders>
            <w:shd w:val="clear" w:color="auto" w:fill="auto"/>
            <w:noWrap/>
            <w:vAlign w:val="center"/>
            <w:hideMark/>
          </w:tcPr>
          <w:p w14:paraId="3860FBFE"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7BB007A7"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2.1%</w:t>
            </w:r>
          </w:p>
        </w:tc>
      </w:tr>
      <w:tr w:rsidR="00023591" w:rsidRPr="004C1108" w14:paraId="4EC59759"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52F4D3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Asian/Pacific Islander</w:t>
            </w:r>
          </w:p>
        </w:tc>
        <w:tc>
          <w:tcPr>
            <w:tcW w:w="350" w:type="pct"/>
            <w:tcBorders>
              <w:top w:val="nil"/>
              <w:left w:val="nil"/>
              <w:bottom w:val="single" w:sz="4" w:space="0" w:color="auto"/>
              <w:right w:val="single" w:sz="4" w:space="0" w:color="auto"/>
            </w:tcBorders>
            <w:shd w:val="clear" w:color="auto" w:fill="auto"/>
            <w:noWrap/>
            <w:vAlign w:val="center"/>
            <w:hideMark/>
          </w:tcPr>
          <w:p w14:paraId="62B141C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84.4%</w:t>
            </w:r>
          </w:p>
        </w:tc>
        <w:tc>
          <w:tcPr>
            <w:tcW w:w="350" w:type="pct"/>
            <w:tcBorders>
              <w:top w:val="nil"/>
              <w:left w:val="nil"/>
              <w:bottom w:val="single" w:sz="4" w:space="0" w:color="auto"/>
              <w:right w:val="single" w:sz="4" w:space="0" w:color="auto"/>
            </w:tcBorders>
            <w:shd w:val="clear" w:color="auto" w:fill="auto"/>
            <w:noWrap/>
            <w:vAlign w:val="center"/>
            <w:hideMark/>
          </w:tcPr>
          <w:p w14:paraId="4535DF4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85.0%</w:t>
            </w:r>
          </w:p>
        </w:tc>
        <w:tc>
          <w:tcPr>
            <w:tcW w:w="350" w:type="pct"/>
            <w:tcBorders>
              <w:top w:val="nil"/>
              <w:left w:val="nil"/>
              <w:bottom w:val="single" w:sz="4" w:space="0" w:color="auto"/>
              <w:right w:val="single" w:sz="4" w:space="0" w:color="auto"/>
            </w:tcBorders>
            <w:shd w:val="clear" w:color="auto" w:fill="auto"/>
            <w:noWrap/>
            <w:vAlign w:val="center"/>
            <w:hideMark/>
          </w:tcPr>
          <w:p w14:paraId="3EC3EBD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85.5%</w:t>
            </w:r>
          </w:p>
        </w:tc>
        <w:tc>
          <w:tcPr>
            <w:tcW w:w="350" w:type="pct"/>
            <w:tcBorders>
              <w:top w:val="nil"/>
              <w:left w:val="nil"/>
              <w:bottom w:val="single" w:sz="4" w:space="0" w:color="auto"/>
              <w:right w:val="single" w:sz="4" w:space="0" w:color="auto"/>
            </w:tcBorders>
            <w:shd w:val="clear" w:color="auto" w:fill="auto"/>
            <w:noWrap/>
            <w:vAlign w:val="center"/>
            <w:hideMark/>
          </w:tcPr>
          <w:p w14:paraId="7D3BFF7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86.1%</w:t>
            </w:r>
          </w:p>
        </w:tc>
        <w:tc>
          <w:tcPr>
            <w:tcW w:w="350" w:type="pct"/>
            <w:tcBorders>
              <w:top w:val="nil"/>
              <w:left w:val="nil"/>
              <w:bottom w:val="single" w:sz="4" w:space="0" w:color="auto"/>
              <w:right w:val="single" w:sz="4" w:space="0" w:color="auto"/>
            </w:tcBorders>
            <w:shd w:val="clear" w:color="auto" w:fill="auto"/>
            <w:noWrap/>
            <w:vAlign w:val="center"/>
            <w:hideMark/>
          </w:tcPr>
          <w:p w14:paraId="01C40F9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86.6%</w:t>
            </w:r>
          </w:p>
        </w:tc>
        <w:tc>
          <w:tcPr>
            <w:tcW w:w="350" w:type="pct"/>
            <w:tcBorders>
              <w:top w:val="nil"/>
              <w:left w:val="nil"/>
              <w:bottom w:val="single" w:sz="4" w:space="0" w:color="auto"/>
              <w:right w:val="single" w:sz="4" w:space="0" w:color="auto"/>
            </w:tcBorders>
            <w:shd w:val="clear" w:color="auto" w:fill="auto"/>
            <w:noWrap/>
            <w:vAlign w:val="center"/>
            <w:hideMark/>
          </w:tcPr>
          <w:p w14:paraId="5997A0E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87.2%</w:t>
            </w:r>
          </w:p>
        </w:tc>
        <w:tc>
          <w:tcPr>
            <w:tcW w:w="350" w:type="pct"/>
            <w:tcBorders>
              <w:top w:val="nil"/>
              <w:left w:val="nil"/>
              <w:bottom w:val="single" w:sz="4" w:space="0" w:color="auto"/>
              <w:right w:val="single" w:sz="4" w:space="0" w:color="auto"/>
            </w:tcBorders>
            <w:shd w:val="clear" w:color="auto" w:fill="auto"/>
            <w:noWrap/>
            <w:vAlign w:val="center"/>
            <w:hideMark/>
          </w:tcPr>
          <w:p w14:paraId="290561F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87.8%</w:t>
            </w:r>
          </w:p>
        </w:tc>
        <w:tc>
          <w:tcPr>
            <w:tcW w:w="350" w:type="pct"/>
            <w:tcBorders>
              <w:top w:val="nil"/>
              <w:left w:val="nil"/>
              <w:bottom w:val="single" w:sz="4" w:space="0" w:color="auto"/>
              <w:right w:val="single" w:sz="4" w:space="0" w:color="auto"/>
            </w:tcBorders>
            <w:shd w:val="clear" w:color="auto" w:fill="auto"/>
            <w:noWrap/>
            <w:vAlign w:val="center"/>
            <w:hideMark/>
          </w:tcPr>
          <w:p w14:paraId="4E8D191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88.3%</w:t>
            </w:r>
          </w:p>
        </w:tc>
        <w:tc>
          <w:tcPr>
            <w:tcW w:w="350" w:type="pct"/>
            <w:tcBorders>
              <w:top w:val="nil"/>
              <w:left w:val="nil"/>
              <w:bottom w:val="single" w:sz="4" w:space="0" w:color="auto"/>
              <w:right w:val="single" w:sz="4" w:space="0" w:color="auto"/>
            </w:tcBorders>
            <w:shd w:val="clear" w:color="auto" w:fill="auto"/>
            <w:noWrap/>
            <w:vAlign w:val="center"/>
            <w:hideMark/>
          </w:tcPr>
          <w:p w14:paraId="1608CD6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88.9%</w:t>
            </w:r>
          </w:p>
        </w:tc>
        <w:tc>
          <w:tcPr>
            <w:tcW w:w="350" w:type="pct"/>
            <w:tcBorders>
              <w:top w:val="nil"/>
              <w:left w:val="nil"/>
              <w:bottom w:val="single" w:sz="4" w:space="0" w:color="auto"/>
              <w:right w:val="single" w:sz="4" w:space="0" w:color="auto"/>
            </w:tcBorders>
            <w:shd w:val="clear" w:color="auto" w:fill="auto"/>
            <w:noWrap/>
            <w:vAlign w:val="center"/>
            <w:hideMark/>
          </w:tcPr>
          <w:p w14:paraId="6ABC521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89.4%</w:t>
            </w:r>
          </w:p>
        </w:tc>
        <w:tc>
          <w:tcPr>
            <w:tcW w:w="350" w:type="pct"/>
            <w:tcBorders>
              <w:top w:val="nil"/>
              <w:left w:val="nil"/>
              <w:bottom w:val="single" w:sz="4" w:space="0" w:color="auto"/>
              <w:right w:val="single" w:sz="4" w:space="0" w:color="auto"/>
            </w:tcBorders>
            <w:shd w:val="clear" w:color="auto" w:fill="auto"/>
            <w:noWrap/>
            <w:vAlign w:val="center"/>
            <w:hideMark/>
          </w:tcPr>
          <w:p w14:paraId="55A61140"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5EF0965F"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0.6%</w:t>
            </w:r>
          </w:p>
        </w:tc>
      </w:tr>
      <w:tr w:rsidR="00023591" w:rsidRPr="004C1108" w14:paraId="0863E9FC"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D4C0D3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Caucasian</w:t>
            </w:r>
          </w:p>
        </w:tc>
        <w:tc>
          <w:tcPr>
            <w:tcW w:w="350" w:type="pct"/>
            <w:tcBorders>
              <w:top w:val="nil"/>
              <w:left w:val="nil"/>
              <w:bottom w:val="single" w:sz="4" w:space="0" w:color="auto"/>
              <w:right w:val="single" w:sz="4" w:space="0" w:color="auto"/>
            </w:tcBorders>
            <w:shd w:val="clear" w:color="auto" w:fill="auto"/>
            <w:noWrap/>
            <w:vAlign w:val="center"/>
            <w:hideMark/>
          </w:tcPr>
          <w:p w14:paraId="39A3052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82.2%</w:t>
            </w:r>
          </w:p>
        </w:tc>
        <w:tc>
          <w:tcPr>
            <w:tcW w:w="350" w:type="pct"/>
            <w:tcBorders>
              <w:top w:val="nil"/>
              <w:left w:val="nil"/>
              <w:bottom w:val="single" w:sz="4" w:space="0" w:color="auto"/>
              <w:right w:val="single" w:sz="4" w:space="0" w:color="auto"/>
            </w:tcBorders>
            <w:shd w:val="clear" w:color="auto" w:fill="auto"/>
            <w:noWrap/>
            <w:vAlign w:val="center"/>
            <w:hideMark/>
          </w:tcPr>
          <w:p w14:paraId="3E09F97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82.9%</w:t>
            </w:r>
          </w:p>
        </w:tc>
        <w:tc>
          <w:tcPr>
            <w:tcW w:w="350" w:type="pct"/>
            <w:tcBorders>
              <w:top w:val="nil"/>
              <w:left w:val="nil"/>
              <w:bottom w:val="single" w:sz="4" w:space="0" w:color="auto"/>
              <w:right w:val="single" w:sz="4" w:space="0" w:color="auto"/>
            </w:tcBorders>
            <w:shd w:val="clear" w:color="auto" w:fill="auto"/>
            <w:noWrap/>
            <w:vAlign w:val="center"/>
            <w:hideMark/>
          </w:tcPr>
          <w:p w14:paraId="1FB448F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625ED89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84.5%</w:t>
            </w:r>
          </w:p>
        </w:tc>
        <w:tc>
          <w:tcPr>
            <w:tcW w:w="350" w:type="pct"/>
            <w:tcBorders>
              <w:top w:val="nil"/>
              <w:left w:val="nil"/>
              <w:bottom w:val="single" w:sz="4" w:space="0" w:color="auto"/>
              <w:right w:val="single" w:sz="4" w:space="0" w:color="auto"/>
            </w:tcBorders>
            <w:shd w:val="clear" w:color="auto" w:fill="auto"/>
            <w:noWrap/>
            <w:vAlign w:val="center"/>
            <w:hideMark/>
          </w:tcPr>
          <w:p w14:paraId="6BA7AB3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85.3%</w:t>
            </w:r>
          </w:p>
        </w:tc>
        <w:tc>
          <w:tcPr>
            <w:tcW w:w="350" w:type="pct"/>
            <w:tcBorders>
              <w:top w:val="nil"/>
              <w:left w:val="nil"/>
              <w:bottom w:val="single" w:sz="4" w:space="0" w:color="auto"/>
              <w:right w:val="single" w:sz="4" w:space="0" w:color="auto"/>
            </w:tcBorders>
            <w:shd w:val="clear" w:color="auto" w:fill="auto"/>
            <w:noWrap/>
            <w:vAlign w:val="center"/>
            <w:hideMark/>
          </w:tcPr>
          <w:p w14:paraId="1A6023B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86.1%</w:t>
            </w:r>
          </w:p>
        </w:tc>
        <w:tc>
          <w:tcPr>
            <w:tcW w:w="350" w:type="pct"/>
            <w:tcBorders>
              <w:top w:val="nil"/>
              <w:left w:val="nil"/>
              <w:bottom w:val="single" w:sz="4" w:space="0" w:color="auto"/>
              <w:right w:val="single" w:sz="4" w:space="0" w:color="auto"/>
            </w:tcBorders>
            <w:shd w:val="clear" w:color="auto" w:fill="auto"/>
            <w:noWrap/>
            <w:vAlign w:val="center"/>
            <w:hideMark/>
          </w:tcPr>
          <w:p w14:paraId="7546E8F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86.9%</w:t>
            </w:r>
          </w:p>
        </w:tc>
        <w:tc>
          <w:tcPr>
            <w:tcW w:w="350" w:type="pct"/>
            <w:tcBorders>
              <w:top w:val="nil"/>
              <w:left w:val="nil"/>
              <w:bottom w:val="single" w:sz="4" w:space="0" w:color="auto"/>
              <w:right w:val="single" w:sz="4" w:space="0" w:color="auto"/>
            </w:tcBorders>
            <w:shd w:val="clear" w:color="auto" w:fill="auto"/>
            <w:noWrap/>
            <w:vAlign w:val="center"/>
            <w:hideMark/>
          </w:tcPr>
          <w:p w14:paraId="3C6327A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87.6%</w:t>
            </w:r>
          </w:p>
        </w:tc>
        <w:tc>
          <w:tcPr>
            <w:tcW w:w="350" w:type="pct"/>
            <w:tcBorders>
              <w:top w:val="nil"/>
              <w:left w:val="nil"/>
              <w:bottom w:val="single" w:sz="4" w:space="0" w:color="auto"/>
              <w:right w:val="single" w:sz="4" w:space="0" w:color="auto"/>
            </w:tcBorders>
            <w:shd w:val="clear" w:color="auto" w:fill="auto"/>
            <w:noWrap/>
            <w:vAlign w:val="center"/>
            <w:hideMark/>
          </w:tcPr>
          <w:p w14:paraId="42F47A2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88.4%</w:t>
            </w:r>
          </w:p>
        </w:tc>
        <w:tc>
          <w:tcPr>
            <w:tcW w:w="350" w:type="pct"/>
            <w:tcBorders>
              <w:top w:val="nil"/>
              <w:left w:val="nil"/>
              <w:bottom w:val="single" w:sz="4" w:space="0" w:color="auto"/>
              <w:right w:val="single" w:sz="4" w:space="0" w:color="auto"/>
            </w:tcBorders>
            <w:shd w:val="clear" w:color="auto" w:fill="auto"/>
            <w:noWrap/>
            <w:vAlign w:val="center"/>
            <w:hideMark/>
          </w:tcPr>
          <w:p w14:paraId="37FEC6C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89.2%</w:t>
            </w:r>
          </w:p>
        </w:tc>
        <w:tc>
          <w:tcPr>
            <w:tcW w:w="350" w:type="pct"/>
            <w:tcBorders>
              <w:top w:val="nil"/>
              <w:left w:val="nil"/>
              <w:bottom w:val="single" w:sz="4" w:space="0" w:color="auto"/>
              <w:right w:val="single" w:sz="4" w:space="0" w:color="auto"/>
            </w:tcBorders>
            <w:shd w:val="clear" w:color="auto" w:fill="auto"/>
            <w:noWrap/>
            <w:vAlign w:val="center"/>
            <w:hideMark/>
          </w:tcPr>
          <w:p w14:paraId="441D1C0F"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2BCA3BC6"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0.8%</w:t>
            </w:r>
          </w:p>
        </w:tc>
      </w:tr>
      <w:tr w:rsidR="00023591" w:rsidRPr="004C1108" w14:paraId="247B6D1F"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7C140DD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Hispanic</w:t>
            </w:r>
          </w:p>
        </w:tc>
        <w:tc>
          <w:tcPr>
            <w:tcW w:w="350" w:type="pct"/>
            <w:tcBorders>
              <w:top w:val="nil"/>
              <w:left w:val="nil"/>
              <w:bottom w:val="single" w:sz="4" w:space="0" w:color="auto"/>
              <w:right w:val="single" w:sz="4" w:space="0" w:color="auto"/>
            </w:tcBorders>
            <w:shd w:val="clear" w:color="auto" w:fill="auto"/>
            <w:noWrap/>
            <w:vAlign w:val="center"/>
            <w:hideMark/>
          </w:tcPr>
          <w:p w14:paraId="28649C4C"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77.3%</w:t>
            </w:r>
          </w:p>
        </w:tc>
        <w:tc>
          <w:tcPr>
            <w:tcW w:w="350" w:type="pct"/>
            <w:tcBorders>
              <w:top w:val="nil"/>
              <w:left w:val="nil"/>
              <w:bottom w:val="single" w:sz="4" w:space="0" w:color="auto"/>
              <w:right w:val="single" w:sz="4" w:space="0" w:color="auto"/>
            </w:tcBorders>
            <w:shd w:val="clear" w:color="auto" w:fill="auto"/>
            <w:noWrap/>
            <w:vAlign w:val="center"/>
            <w:hideMark/>
          </w:tcPr>
          <w:p w14:paraId="36CCCE5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78.6%</w:t>
            </w:r>
          </w:p>
        </w:tc>
        <w:tc>
          <w:tcPr>
            <w:tcW w:w="350" w:type="pct"/>
            <w:tcBorders>
              <w:top w:val="nil"/>
              <w:left w:val="nil"/>
              <w:bottom w:val="single" w:sz="4" w:space="0" w:color="auto"/>
              <w:right w:val="single" w:sz="4" w:space="0" w:color="auto"/>
            </w:tcBorders>
            <w:shd w:val="clear" w:color="auto" w:fill="auto"/>
            <w:noWrap/>
            <w:vAlign w:val="center"/>
            <w:hideMark/>
          </w:tcPr>
          <w:p w14:paraId="6A14214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79.9%</w:t>
            </w:r>
          </w:p>
        </w:tc>
        <w:tc>
          <w:tcPr>
            <w:tcW w:w="350" w:type="pct"/>
            <w:tcBorders>
              <w:top w:val="nil"/>
              <w:left w:val="nil"/>
              <w:bottom w:val="single" w:sz="4" w:space="0" w:color="auto"/>
              <w:right w:val="single" w:sz="4" w:space="0" w:color="auto"/>
            </w:tcBorders>
            <w:shd w:val="clear" w:color="auto" w:fill="auto"/>
            <w:noWrap/>
            <w:vAlign w:val="center"/>
            <w:hideMark/>
          </w:tcPr>
          <w:p w14:paraId="214D02C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81.1%</w:t>
            </w:r>
          </w:p>
        </w:tc>
        <w:tc>
          <w:tcPr>
            <w:tcW w:w="350" w:type="pct"/>
            <w:tcBorders>
              <w:top w:val="nil"/>
              <w:left w:val="nil"/>
              <w:bottom w:val="single" w:sz="4" w:space="0" w:color="auto"/>
              <w:right w:val="single" w:sz="4" w:space="0" w:color="auto"/>
            </w:tcBorders>
            <w:shd w:val="clear" w:color="auto" w:fill="auto"/>
            <w:noWrap/>
            <w:vAlign w:val="center"/>
            <w:hideMark/>
          </w:tcPr>
          <w:p w14:paraId="226F397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82.4%</w:t>
            </w:r>
          </w:p>
        </w:tc>
        <w:tc>
          <w:tcPr>
            <w:tcW w:w="350" w:type="pct"/>
            <w:tcBorders>
              <w:top w:val="nil"/>
              <w:left w:val="nil"/>
              <w:bottom w:val="single" w:sz="4" w:space="0" w:color="auto"/>
              <w:right w:val="single" w:sz="4" w:space="0" w:color="auto"/>
            </w:tcBorders>
            <w:shd w:val="clear" w:color="auto" w:fill="auto"/>
            <w:noWrap/>
            <w:vAlign w:val="center"/>
            <w:hideMark/>
          </w:tcPr>
          <w:p w14:paraId="1FFB9F0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130FEC5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84.9%</w:t>
            </w:r>
          </w:p>
        </w:tc>
        <w:tc>
          <w:tcPr>
            <w:tcW w:w="350" w:type="pct"/>
            <w:tcBorders>
              <w:top w:val="nil"/>
              <w:left w:val="nil"/>
              <w:bottom w:val="single" w:sz="4" w:space="0" w:color="auto"/>
              <w:right w:val="single" w:sz="4" w:space="0" w:color="auto"/>
            </w:tcBorders>
            <w:shd w:val="clear" w:color="auto" w:fill="auto"/>
            <w:noWrap/>
            <w:vAlign w:val="center"/>
            <w:hideMark/>
          </w:tcPr>
          <w:p w14:paraId="64EA8C9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86.2%</w:t>
            </w:r>
          </w:p>
        </w:tc>
        <w:tc>
          <w:tcPr>
            <w:tcW w:w="350" w:type="pct"/>
            <w:tcBorders>
              <w:top w:val="nil"/>
              <w:left w:val="nil"/>
              <w:bottom w:val="single" w:sz="4" w:space="0" w:color="auto"/>
              <w:right w:val="single" w:sz="4" w:space="0" w:color="auto"/>
            </w:tcBorders>
            <w:shd w:val="clear" w:color="auto" w:fill="auto"/>
            <w:noWrap/>
            <w:vAlign w:val="center"/>
            <w:hideMark/>
          </w:tcPr>
          <w:p w14:paraId="151F4AA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87.5%</w:t>
            </w:r>
          </w:p>
        </w:tc>
        <w:tc>
          <w:tcPr>
            <w:tcW w:w="350" w:type="pct"/>
            <w:tcBorders>
              <w:top w:val="nil"/>
              <w:left w:val="nil"/>
              <w:bottom w:val="single" w:sz="4" w:space="0" w:color="auto"/>
              <w:right w:val="single" w:sz="4" w:space="0" w:color="auto"/>
            </w:tcBorders>
            <w:shd w:val="clear" w:color="auto" w:fill="auto"/>
            <w:noWrap/>
            <w:vAlign w:val="center"/>
            <w:hideMark/>
          </w:tcPr>
          <w:p w14:paraId="6C80AAE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88.7%</w:t>
            </w:r>
          </w:p>
        </w:tc>
        <w:tc>
          <w:tcPr>
            <w:tcW w:w="350" w:type="pct"/>
            <w:tcBorders>
              <w:top w:val="nil"/>
              <w:left w:val="nil"/>
              <w:bottom w:val="single" w:sz="4" w:space="0" w:color="auto"/>
              <w:right w:val="single" w:sz="4" w:space="0" w:color="auto"/>
            </w:tcBorders>
            <w:shd w:val="clear" w:color="auto" w:fill="auto"/>
            <w:noWrap/>
            <w:vAlign w:val="center"/>
            <w:hideMark/>
          </w:tcPr>
          <w:p w14:paraId="1F2A75BB"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3AF357C8"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1.3%</w:t>
            </w:r>
          </w:p>
        </w:tc>
      </w:tr>
      <w:tr w:rsidR="00023591" w:rsidRPr="004C1108" w14:paraId="16FFFB4A"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E16137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Two or More Races</w:t>
            </w:r>
          </w:p>
        </w:tc>
        <w:tc>
          <w:tcPr>
            <w:tcW w:w="350" w:type="pct"/>
            <w:tcBorders>
              <w:top w:val="nil"/>
              <w:left w:val="nil"/>
              <w:bottom w:val="single" w:sz="4" w:space="0" w:color="auto"/>
              <w:right w:val="single" w:sz="4" w:space="0" w:color="auto"/>
            </w:tcBorders>
            <w:shd w:val="clear" w:color="auto" w:fill="auto"/>
            <w:noWrap/>
            <w:vAlign w:val="center"/>
            <w:hideMark/>
          </w:tcPr>
          <w:p w14:paraId="1FF53723"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75.1%</w:t>
            </w:r>
          </w:p>
        </w:tc>
        <w:tc>
          <w:tcPr>
            <w:tcW w:w="350" w:type="pct"/>
            <w:tcBorders>
              <w:top w:val="nil"/>
              <w:left w:val="nil"/>
              <w:bottom w:val="single" w:sz="4" w:space="0" w:color="auto"/>
              <w:right w:val="single" w:sz="4" w:space="0" w:color="auto"/>
            </w:tcBorders>
            <w:shd w:val="clear" w:color="auto" w:fill="auto"/>
            <w:noWrap/>
            <w:vAlign w:val="center"/>
            <w:hideMark/>
          </w:tcPr>
          <w:p w14:paraId="1D51061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76.6%</w:t>
            </w:r>
          </w:p>
        </w:tc>
        <w:tc>
          <w:tcPr>
            <w:tcW w:w="350" w:type="pct"/>
            <w:tcBorders>
              <w:top w:val="nil"/>
              <w:left w:val="nil"/>
              <w:bottom w:val="single" w:sz="4" w:space="0" w:color="auto"/>
              <w:right w:val="single" w:sz="4" w:space="0" w:color="auto"/>
            </w:tcBorders>
            <w:shd w:val="clear" w:color="auto" w:fill="auto"/>
            <w:noWrap/>
            <w:vAlign w:val="center"/>
            <w:hideMark/>
          </w:tcPr>
          <w:p w14:paraId="4862978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78.0%</w:t>
            </w:r>
          </w:p>
        </w:tc>
        <w:tc>
          <w:tcPr>
            <w:tcW w:w="350" w:type="pct"/>
            <w:tcBorders>
              <w:top w:val="nil"/>
              <w:left w:val="nil"/>
              <w:bottom w:val="single" w:sz="4" w:space="0" w:color="auto"/>
              <w:right w:val="single" w:sz="4" w:space="0" w:color="auto"/>
            </w:tcBorders>
            <w:shd w:val="clear" w:color="auto" w:fill="auto"/>
            <w:noWrap/>
            <w:vAlign w:val="center"/>
            <w:hideMark/>
          </w:tcPr>
          <w:p w14:paraId="095C490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79.5%</w:t>
            </w:r>
          </w:p>
        </w:tc>
        <w:tc>
          <w:tcPr>
            <w:tcW w:w="350" w:type="pct"/>
            <w:tcBorders>
              <w:top w:val="nil"/>
              <w:left w:val="nil"/>
              <w:bottom w:val="single" w:sz="4" w:space="0" w:color="auto"/>
              <w:right w:val="single" w:sz="4" w:space="0" w:color="auto"/>
            </w:tcBorders>
            <w:shd w:val="clear" w:color="auto" w:fill="auto"/>
            <w:noWrap/>
            <w:vAlign w:val="center"/>
            <w:hideMark/>
          </w:tcPr>
          <w:p w14:paraId="346B28E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81.0%</w:t>
            </w:r>
          </w:p>
        </w:tc>
        <w:tc>
          <w:tcPr>
            <w:tcW w:w="350" w:type="pct"/>
            <w:tcBorders>
              <w:top w:val="nil"/>
              <w:left w:val="nil"/>
              <w:bottom w:val="single" w:sz="4" w:space="0" w:color="auto"/>
              <w:right w:val="single" w:sz="4" w:space="0" w:color="auto"/>
            </w:tcBorders>
            <w:shd w:val="clear" w:color="auto" w:fill="auto"/>
            <w:noWrap/>
            <w:vAlign w:val="center"/>
            <w:hideMark/>
          </w:tcPr>
          <w:p w14:paraId="0E0BF93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82.5%</w:t>
            </w:r>
          </w:p>
        </w:tc>
        <w:tc>
          <w:tcPr>
            <w:tcW w:w="350" w:type="pct"/>
            <w:tcBorders>
              <w:top w:val="nil"/>
              <w:left w:val="nil"/>
              <w:bottom w:val="single" w:sz="4" w:space="0" w:color="auto"/>
              <w:right w:val="single" w:sz="4" w:space="0" w:color="auto"/>
            </w:tcBorders>
            <w:shd w:val="clear" w:color="auto" w:fill="auto"/>
            <w:noWrap/>
            <w:vAlign w:val="center"/>
            <w:hideMark/>
          </w:tcPr>
          <w:p w14:paraId="7C644C4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84.0%</w:t>
            </w:r>
          </w:p>
        </w:tc>
        <w:tc>
          <w:tcPr>
            <w:tcW w:w="350" w:type="pct"/>
            <w:tcBorders>
              <w:top w:val="nil"/>
              <w:left w:val="nil"/>
              <w:bottom w:val="single" w:sz="4" w:space="0" w:color="auto"/>
              <w:right w:val="single" w:sz="4" w:space="0" w:color="auto"/>
            </w:tcBorders>
            <w:shd w:val="clear" w:color="auto" w:fill="auto"/>
            <w:noWrap/>
            <w:vAlign w:val="center"/>
            <w:hideMark/>
          </w:tcPr>
          <w:p w14:paraId="2ED0355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85.5%</w:t>
            </w:r>
          </w:p>
        </w:tc>
        <w:tc>
          <w:tcPr>
            <w:tcW w:w="350" w:type="pct"/>
            <w:tcBorders>
              <w:top w:val="nil"/>
              <w:left w:val="nil"/>
              <w:bottom w:val="single" w:sz="4" w:space="0" w:color="auto"/>
              <w:right w:val="single" w:sz="4" w:space="0" w:color="auto"/>
            </w:tcBorders>
            <w:shd w:val="clear" w:color="auto" w:fill="auto"/>
            <w:noWrap/>
            <w:vAlign w:val="center"/>
            <w:hideMark/>
          </w:tcPr>
          <w:p w14:paraId="049A03F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87.0%</w:t>
            </w:r>
          </w:p>
        </w:tc>
        <w:tc>
          <w:tcPr>
            <w:tcW w:w="350" w:type="pct"/>
            <w:tcBorders>
              <w:top w:val="nil"/>
              <w:left w:val="nil"/>
              <w:bottom w:val="single" w:sz="4" w:space="0" w:color="auto"/>
              <w:right w:val="single" w:sz="4" w:space="0" w:color="auto"/>
            </w:tcBorders>
            <w:shd w:val="clear" w:color="auto" w:fill="auto"/>
            <w:noWrap/>
            <w:vAlign w:val="center"/>
            <w:hideMark/>
          </w:tcPr>
          <w:p w14:paraId="23972CF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88.5%</w:t>
            </w:r>
          </w:p>
        </w:tc>
        <w:tc>
          <w:tcPr>
            <w:tcW w:w="350" w:type="pct"/>
            <w:tcBorders>
              <w:top w:val="nil"/>
              <w:left w:val="nil"/>
              <w:bottom w:val="single" w:sz="4" w:space="0" w:color="auto"/>
              <w:right w:val="single" w:sz="4" w:space="0" w:color="auto"/>
            </w:tcBorders>
            <w:shd w:val="clear" w:color="auto" w:fill="auto"/>
            <w:noWrap/>
            <w:vAlign w:val="center"/>
            <w:hideMark/>
          </w:tcPr>
          <w:p w14:paraId="79A5D553"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69F5D52C"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1.5%</w:t>
            </w:r>
          </w:p>
        </w:tc>
      </w:tr>
      <w:tr w:rsidR="00023591" w:rsidRPr="004C1108" w14:paraId="0238D27D"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7557F47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Students with Disabilities</w:t>
            </w:r>
          </w:p>
        </w:tc>
        <w:tc>
          <w:tcPr>
            <w:tcW w:w="350" w:type="pct"/>
            <w:tcBorders>
              <w:top w:val="nil"/>
              <w:left w:val="nil"/>
              <w:bottom w:val="single" w:sz="4" w:space="0" w:color="auto"/>
              <w:right w:val="single" w:sz="4" w:space="0" w:color="auto"/>
            </w:tcBorders>
            <w:shd w:val="clear" w:color="auto" w:fill="auto"/>
            <w:noWrap/>
            <w:vAlign w:val="center"/>
            <w:hideMark/>
          </w:tcPr>
          <w:p w14:paraId="4A4B3880"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58.7%</w:t>
            </w:r>
          </w:p>
        </w:tc>
        <w:tc>
          <w:tcPr>
            <w:tcW w:w="350" w:type="pct"/>
            <w:tcBorders>
              <w:top w:val="nil"/>
              <w:left w:val="nil"/>
              <w:bottom w:val="single" w:sz="4" w:space="0" w:color="auto"/>
              <w:right w:val="single" w:sz="4" w:space="0" w:color="auto"/>
            </w:tcBorders>
            <w:shd w:val="clear" w:color="auto" w:fill="auto"/>
            <w:noWrap/>
            <w:vAlign w:val="center"/>
            <w:hideMark/>
          </w:tcPr>
          <w:p w14:paraId="42C35F4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61.9%</w:t>
            </w:r>
          </w:p>
        </w:tc>
        <w:tc>
          <w:tcPr>
            <w:tcW w:w="350" w:type="pct"/>
            <w:tcBorders>
              <w:top w:val="nil"/>
              <w:left w:val="nil"/>
              <w:bottom w:val="single" w:sz="4" w:space="0" w:color="auto"/>
              <w:right w:val="single" w:sz="4" w:space="0" w:color="auto"/>
            </w:tcBorders>
            <w:shd w:val="clear" w:color="auto" w:fill="auto"/>
            <w:noWrap/>
            <w:vAlign w:val="center"/>
            <w:hideMark/>
          </w:tcPr>
          <w:p w14:paraId="5C2B7D1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65.0%</w:t>
            </w:r>
          </w:p>
        </w:tc>
        <w:tc>
          <w:tcPr>
            <w:tcW w:w="350" w:type="pct"/>
            <w:tcBorders>
              <w:top w:val="nil"/>
              <w:left w:val="nil"/>
              <w:bottom w:val="single" w:sz="4" w:space="0" w:color="auto"/>
              <w:right w:val="single" w:sz="4" w:space="0" w:color="auto"/>
            </w:tcBorders>
            <w:shd w:val="clear" w:color="auto" w:fill="auto"/>
            <w:noWrap/>
            <w:vAlign w:val="center"/>
            <w:hideMark/>
          </w:tcPr>
          <w:p w14:paraId="0B6AA1B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68.1%</w:t>
            </w:r>
          </w:p>
        </w:tc>
        <w:tc>
          <w:tcPr>
            <w:tcW w:w="350" w:type="pct"/>
            <w:tcBorders>
              <w:top w:val="nil"/>
              <w:left w:val="nil"/>
              <w:bottom w:val="single" w:sz="4" w:space="0" w:color="auto"/>
              <w:right w:val="single" w:sz="4" w:space="0" w:color="auto"/>
            </w:tcBorders>
            <w:shd w:val="clear" w:color="auto" w:fill="auto"/>
            <w:noWrap/>
            <w:vAlign w:val="center"/>
            <w:hideMark/>
          </w:tcPr>
          <w:p w14:paraId="14CAB27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71.2%</w:t>
            </w:r>
          </w:p>
        </w:tc>
        <w:tc>
          <w:tcPr>
            <w:tcW w:w="350" w:type="pct"/>
            <w:tcBorders>
              <w:top w:val="nil"/>
              <w:left w:val="nil"/>
              <w:bottom w:val="single" w:sz="4" w:space="0" w:color="auto"/>
              <w:right w:val="single" w:sz="4" w:space="0" w:color="auto"/>
            </w:tcBorders>
            <w:shd w:val="clear" w:color="auto" w:fill="auto"/>
            <w:noWrap/>
            <w:vAlign w:val="center"/>
            <w:hideMark/>
          </w:tcPr>
          <w:p w14:paraId="3F2D2F8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74.4%</w:t>
            </w:r>
          </w:p>
        </w:tc>
        <w:tc>
          <w:tcPr>
            <w:tcW w:w="350" w:type="pct"/>
            <w:tcBorders>
              <w:top w:val="nil"/>
              <w:left w:val="nil"/>
              <w:bottom w:val="single" w:sz="4" w:space="0" w:color="auto"/>
              <w:right w:val="single" w:sz="4" w:space="0" w:color="auto"/>
            </w:tcBorders>
            <w:shd w:val="clear" w:color="auto" w:fill="auto"/>
            <w:noWrap/>
            <w:vAlign w:val="center"/>
            <w:hideMark/>
          </w:tcPr>
          <w:p w14:paraId="438660D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77.5%</w:t>
            </w:r>
          </w:p>
        </w:tc>
        <w:tc>
          <w:tcPr>
            <w:tcW w:w="350" w:type="pct"/>
            <w:tcBorders>
              <w:top w:val="nil"/>
              <w:left w:val="nil"/>
              <w:bottom w:val="single" w:sz="4" w:space="0" w:color="auto"/>
              <w:right w:val="single" w:sz="4" w:space="0" w:color="auto"/>
            </w:tcBorders>
            <w:shd w:val="clear" w:color="auto" w:fill="auto"/>
            <w:noWrap/>
            <w:vAlign w:val="center"/>
            <w:hideMark/>
          </w:tcPr>
          <w:p w14:paraId="153E9E9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80.6%</w:t>
            </w:r>
          </w:p>
        </w:tc>
        <w:tc>
          <w:tcPr>
            <w:tcW w:w="350" w:type="pct"/>
            <w:tcBorders>
              <w:top w:val="nil"/>
              <w:left w:val="nil"/>
              <w:bottom w:val="single" w:sz="4" w:space="0" w:color="auto"/>
              <w:right w:val="single" w:sz="4" w:space="0" w:color="auto"/>
            </w:tcBorders>
            <w:shd w:val="clear" w:color="auto" w:fill="auto"/>
            <w:noWrap/>
            <w:vAlign w:val="center"/>
            <w:hideMark/>
          </w:tcPr>
          <w:p w14:paraId="1E56789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765E31F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86.9%</w:t>
            </w:r>
          </w:p>
        </w:tc>
        <w:tc>
          <w:tcPr>
            <w:tcW w:w="350" w:type="pct"/>
            <w:tcBorders>
              <w:top w:val="nil"/>
              <w:left w:val="nil"/>
              <w:bottom w:val="single" w:sz="4" w:space="0" w:color="auto"/>
              <w:right w:val="single" w:sz="4" w:space="0" w:color="auto"/>
            </w:tcBorders>
            <w:shd w:val="clear" w:color="auto" w:fill="auto"/>
            <w:noWrap/>
            <w:vAlign w:val="center"/>
            <w:hideMark/>
          </w:tcPr>
          <w:p w14:paraId="16AFD88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7311856E"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3.1%</w:t>
            </w:r>
          </w:p>
        </w:tc>
      </w:tr>
      <w:tr w:rsidR="00023591" w:rsidRPr="004C1108" w14:paraId="010C56F6"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58EFACE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English Learners</w:t>
            </w:r>
          </w:p>
        </w:tc>
        <w:tc>
          <w:tcPr>
            <w:tcW w:w="350" w:type="pct"/>
            <w:tcBorders>
              <w:top w:val="nil"/>
              <w:left w:val="nil"/>
              <w:bottom w:val="single" w:sz="4" w:space="0" w:color="auto"/>
              <w:right w:val="single" w:sz="4" w:space="0" w:color="auto"/>
            </w:tcBorders>
            <w:shd w:val="clear" w:color="auto" w:fill="auto"/>
            <w:noWrap/>
            <w:vAlign w:val="center"/>
            <w:hideMark/>
          </w:tcPr>
          <w:p w14:paraId="7DC8C2D4"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57.7%</w:t>
            </w:r>
          </w:p>
        </w:tc>
        <w:tc>
          <w:tcPr>
            <w:tcW w:w="350" w:type="pct"/>
            <w:tcBorders>
              <w:top w:val="nil"/>
              <w:left w:val="nil"/>
              <w:bottom w:val="single" w:sz="4" w:space="0" w:color="auto"/>
              <w:right w:val="single" w:sz="4" w:space="0" w:color="auto"/>
            </w:tcBorders>
            <w:shd w:val="clear" w:color="auto" w:fill="auto"/>
            <w:noWrap/>
            <w:vAlign w:val="center"/>
            <w:hideMark/>
          </w:tcPr>
          <w:p w14:paraId="19E7369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60.9%</w:t>
            </w:r>
          </w:p>
        </w:tc>
        <w:tc>
          <w:tcPr>
            <w:tcW w:w="350" w:type="pct"/>
            <w:tcBorders>
              <w:top w:val="nil"/>
              <w:left w:val="nil"/>
              <w:bottom w:val="single" w:sz="4" w:space="0" w:color="auto"/>
              <w:right w:val="single" w:sz="4" w:space="0" w:color="auto"/>
            </w:tcBorders>
            <w:shd w:val="clear" w:color="auto" w:fill="auto"/>
            <w:noWrap/>
            <w:vAlign w:val="center"/>
            <w:hideMark/>
          </w:tcPr>
          <w:p w14:paraId="562687E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64.2%</w:t>
            </w:r>
          </w:p>
        </w:tc>
        <w:tc>
          <w:tcPr>
            <w:tcW w:w="350" w:type="pct"/>
            <w:tcBorders>
              <w:top w:val="nil"/>
              <w:left w:val="nil"/>
              <w:bottom w:val="single" w:sz="4" w:space="0" w:color="auto"/>
              <w:right w:val="single" w:sz="4" w:space="0" w:color="auto"/>
            </w:tcBorders>
            <w:shd w:val="clear" w:color="auto" w:fill="auto"/>
            <w:noWrap/>
            <w:vAlign w:val="center"/>
            <w:hideMark/>
          </w:tcPr>
          <w:p w14:paraId="1F37F66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67.4%</w:t>
            </w:r>
          </w:p>
        </w:tc>
        <w:tc>
          <w:tcPr>
            <w:tcW w:w="350" w:type="pct"/>
            <w:tcBorders>
              <w:top w:val="nil"/>
              <w:left w:val="nil"/>
              <w:bottom w:val="single" w:sz="4" w:space="0" w:color="auto"/>
              <w:right w:val="single" w:sz="4" w:space="0" w:color="auto"/>
            </w:tcBorders>
            <w:shd w:val="clear" w:color="auto" w:fill="auto"/>
            <w:noWrap/>
            <w:vAlign w:val="center"/>
            <w:hideMark/>
          </w:tcPr>
          <w:p w14:paraId="40F5306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70.6%</w:t>
            </w:r>
          </w:p>
        </w:tc>
        <w:tc>
          <w:tcPr>
            <w:tcW w:w="350" w:type="pct"/>
            <w:tcBorders>
              <w:top w:val="nil"/>
              <w:left w:val="nil"/>
              <w:bottom w:val="single" w:sz="4" w:space="0" w:color="auto"/>
              <w:right w:val="single" w:sz="4" w:space="0" w:color="auto"/>
            </w:tcBorders>
            <w:shd w:val="clear" w:color="auto" w:fill="auto"/>
            <w:noWrap/>
            <w:vAlign w:val="center"/>
            <w:hideMark/>
          </w:tcPr>
          <w:p w14:paraId="194DB3F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73.9%</w:t>
            </w:r>
          </w:p>
        </w:tc>
        <w:tc>
          <w:tcPr>
            <w:tcW w:w="350" w:type="pct"/>
            <w:tcBorders>
              <w:top w:val="nil"/>
              <w:left w:val="nil"/>
              <w:bottom w:val="single" w:sz="4" w:space="0" w:color="auto"/>
              <w:right w:val="single" w:sz="4" w:space="0" w:color="auto"/>
            </w:tcBorders>
            <w:shd w:val="clear" w:color="auto" w:fill="auto"/>
            <w:noWrap/>
            <w:vAlign w:val="center"/>
            <w:hideMark/>
          </w:tcPr>
          <w:p w14:paraId="54FE8D9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77.1%</w:t>
            </w:r>
          </w:p>
        </w:tc>
        <w:tc>
          <w:tcPr>
            <w:tcW w:w="350" w:type="pct"/>
            <w:tcBorders>
              <w:top w:val="nil"/>
              <w:left w:val="nil"/>
              <w:bottom w:val="single" w:sz="4" w:space="0" w:color="auto"/>
              <w:right w:val="single" w:sz="4" w:space="0" w:color="auto"/>
            </w:tcBorders>
            <w:shd w:val="clear" w:color="auto" w:fill="auto"/>
            <w:noWrap/>
            <w:vAlign w:val="center"/>
            <w:hideMark/>
          </w:tcPr>
          <w:p w14:paraId="448B62F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80.3%</w:t>
            </w:r>
          </w:p>
        </w:tc>
        <w:tc>
          <w:tcPr>
            <w:tcW w:w="350" w:type="pct"/>
            <w:tcBorders>
              <w:top w:val="nil"/>
              <w:left w:val="nil"/>
              <w:bottom w:val="single" w:sz="4" w:space="0" w:color="auto"/>
              <w:right w:val="single" w:sz="4" w:space="0" w:color="auto"/>
            </w:tcBorders>
            <w:shd w:val="clear" w:color="auto" w:fill="auto"/>
            <w:noWrap/>
            <w:vAlign w:val="center"/>
            <w:hideMark/>
          </w:tcPr>
          <w:p w14:paraId="325FF6D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83.5%</w:t>
            </w:r>
          </w:p>
        </w:tc>
        <w:tc>
          <w:tcPr>
            <w:tcW w:w="350" w:type="pct"/>
            <w:tcBorders>
              <w:top w:val="nil"/>
              <w:left w:val="nil"/>
              <w:bottom w:val="single" w:sz="4" w:space="0" w:color="auto"/>
              <w:right w:val="single" w:sz="4" w:space="0" w:color="auto"/>
            </w:tcBorders>
            <w:shd w:val="clear" w:color="auto" w:fill="auto"/>
            <w:noWrap/>
            <w:vAlign w:val="center"/>
            <w:hideMark/>
          </w:tcPr>
          <w:p w14:paraId="268D8BE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86.8%</w:t>
            </w:r>
          </w:p>
        </w:tc>
        <w:tc>
          <w:tcPr>
            <w:tcW w:w="350" w:type="pct"/>
            <w:tcBorders>
              <w:top w:val="nil"/>
              <w:left w:val="nil"/>
              <w:bottom w:val="single" w:sz="4" w:space="0" w:color="auto"/>
              <w:right w:val="single" w:sz="4" w:space="0" w:color="auto"/>
            </w:tcBorders>
            <w:shd w:val="clear" w:color="auto" w:fill="auto"/>
            <w:noWrap/>
            <w:vAlign w:val="center"/>
            <w:hideMark/>
          </w:tcPr>
          <w:p w14:paraId="1F3C985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72AD6519"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3.2%</w:t>
            </w:r>
          </w:p>
        </w:tc>
      </w:tr>
      <w:tr w:rsidR="00023591" w:rsidRPr="004C1108" w14:paraId="2CFA6999"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5170DDF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Economically Disadvantaged</w:t>
            </w:r>
          </w:p>
        </w:tc>
        <w:tc>
          <w:tcPr>
            <w:tcW w:w="350" w:type="pct"/>
            <w:tcBorders>
              <w:top w:val="nil"/>
              <w:left w:val="nil"/>
              <w:bottom w:val="single" w:sz="4" w:space="0" w:color="auto"/>
              <w:right w:val="single" w:sz="4" w:space="0" w:color="auto"/>
            </w:tcBorders>
            <w:shd w:val="clear" w:color="auto" w:fill="auto"/>
            <w:noWrap/>
            <w:vAlign w:val="center"/>
            <w:hideMark/>
          </w:tcPr>
          <w:p w14:paraId="7200AC04"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72.0%</w:t>
            </w:r>
          </w:p>
        </w:tc>
        <w:tc>
          <w:tcPr>
            <w:tcW w:w="350" w:type="pct"/>
            <w:tcBorders>
              <w:top w:val="nil"/>
              <w:left w:val="nil"/>
              <w:bottom w:val="single" w:sz="4" w:space="0" w:color="auto"/>
              <w:right w:val="single" w:sz="4" w:space="0" w:color="auto"/>
            </w:tcBorders>
            <w:shd w:val="clear" w:color="auto" w:fill="auto"/>
            <w:noWrap/>
            <w:vAlign w:val="center"/>
            <w:hideMark/>
          </w:tcPr>
          <w:p w14:paraId="1ED405D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73.8%</w:t>
            </w:r>
          </w:p>
        </w:tc>
        <w:tc>
          <w:tcPr>
            <w:tcW w:w="350" w:type="pct"/>
            <w:tcBorders>
              <w:top w:val="nil"/>
              <w:left w:val="nil"/>
              <w:bottom w:val="single" w:sz="4" w:space="0" w:color="auto"/>
              <w:right w:val="single" w:sz="4" w:space="0" w:color="auto"/>
            </w:tcBorders>
            <w:shd w:val="clear" w:color="auto" w:fill="auto"/>
            <w:noWrap/>
            <w:vAlign w:val="center"/>
            <w:hideMark/>
          </w:tcPr>
          <w:p w14:paraId="46F11AF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75.6%</w:t>
            </w:r>
          </w:p>
        </w:tc>
        <w:tc>
          <w:tcPr>
            <w:tcW w:w="350" w:type="pct"/>
            <w:tcBorders>
              <w:top w:val="nil"/>
              <w:left w:val="nil"/>
              <w:bottom w:val="single" w:sz="4" w:space="0" w:color="auto"/>
              <w:right w:val="single" w:sz="4" w:space="0" w:color="auto"/>
            </w:tcBorders>
            <w:shd w:val="clear" w:color="auto" w:fill="auto"/>
            <w:noWrap/>
            <w:vAlign w:val="center"/>
            <w:hideMark/>
          </w:tcPr>
          <w:p w14:paraId="2AA54ED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77.4%</w:t>
            </w:r>
          </w:p>
        </w:tc>
        <w:tc>
          <w:tcPr>
            <w:tcW w:w="350" w:type="pct"/>
            <w:tcBorders>
              <w:top w:val="nil"/>
              <w:left w:val="nil"/>
              <w:bottom w:val="single" w:sz="4" w:space="0" w:color="auto"/>
              <w:right w:val="single" w:sz="4" w:space="0" w:color="auto"/>
            </w:tcBorders>
            <w:shd w:val="clear" w:color="auto" w:fill="auto"/>
            <w:noWrap/>
            <w:vAlign w:val="center"/>
            <w:hideMark/>
          </w:tcPr>
          <w:p w14:paraId="22CECD1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79.2%</w:t>
            </w:r>
          </w:p>
        </w:tc>
        <w:tc>
          <w:tcPr>
            <w:tcW w:w="350" w:type="pct"/>
            <w:tcBorders>
              <w:top w:val="nil"/>
              <w:left w:val="nil"/>
              <w:bottom w:val="single" w:sz="4" w:space="0" w:color="auto"/>
              <w:right w:val="single" w:sz="4" w:space="0" w:color="auto"/>
            </w:tcBorders>
            <w:shd w:val="clear" w:color="auto" w:fill="auto"/>
            <w:noWrap/>
            <w:vAlign w:val="center"/>
            <w:hideMark/>
          </w:tcPr>
          <w:p w14:paraId="729F11F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81.0%</w:t>
            </w:r>
          </w:p>
        </w:tc>
        <w:tc>
          <w:tcPr>
            <w:tcW w:w="350" w:type="pct"/>
            <w:tcBorders>
              <w:top w:val="nil"/>
              <w:left w:val="nil"/>
              <w:bottom w:val="single" w:sz="4" w:space="0" w:color="auto"/>
              <w:right w:val="single" w:sz="4" w:space="0" w:color="auto"/>
            </w:tcBorders>
            <w:shd w:val="clear" w:color="auto" w:fill="auto"/>
            <w:noWrap/>
            <w:vAlign w:val="center"/>
            <w:hideMark/>
          </w:tcPr>
          <w:p w14:paraId="5B823C4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82.8%</w:t>
            </w:r>
          </w:p>
        </w:tc>
        <w:tc>
          <w:tcPr>
            <w:tcW w:w="350" w:type="pct"/>
            <w:tcBorders>
              <w:top w:val="nil"/>
              <w:left w:val="nil"/>
              <w:bottom w:val="single" w:sz="4" w:space="0" w:color="auto"/>
              <w:right w:val="single" w:sz="4" w:space="0" w:color="auto"/>
            </w:tcBorders>
            <w:shd w:val="clear" w:color="auto" w:fill="auto"/>
            <w:noWrap/>
            <w:vAlign w:val="center"/>
            <w:hideMark/>
          </w:tcPr>
          <w:p w14:paraId="2E4F452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84.6%</w:t>
            </w:r>
          </w:p>
        </w:tc>
        <w:tc>
          <w:tcPr>
            <w:tcW w:w="350" w:type="pct"/>
            <w:tcBorders>
              <w:top w:val="nil"/>
              <w:left w:val="nil"/>
              <w:bottom w:val="single" w:sz="4" w:space="0" w:color="auto"/>
              <w:right w:val="single" w:sz="4" w:space="0" w:color="auto"/>
            </w:tcBorders>
            <w:shd w:val="clear" w:color="auto" w:fill="auto"/>
            <w:noWrap/>
            <w:vAlign w:val="center"/>
            <w:hideMark/>
          </w:tcPr>
          <w:p w14:paraId="321C254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86.4%</w:t>
            </w:r>
          </w:p>
        </w:tc>
        <w:tc>
          <w:tcPr>
            <w:tcW w:w="350" w:type="pct"/>
            <w:tcBorders>
              <w:top w:val="nil"/>
              <w:left w:val="nil"/>
              <w:bottom w:val="single" w:sz="4" w:space="0" w:color="auto"/>
              <w:right w:val="single" w:sz="4" w:space="0" w:color="auto"/>
            </w:tcBorders>
            <w:shd w:val="clear" w:color="auto" w:fill="auto"/>
            <w:noWrap/>
            <w:vAlign w:val="center"/>
            <w:hideMark/>
          </w:tcPr>
          <w:p w14:paraId="7CCF25A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88.2%</w:t>
            </w:r>
          </w:p>
        </w:tc>
        <w:tc>
          <w:tcPr>
            <w:tcW w:w="350" w:type="pct"/>
            <w:tcBorders>
              <w:top w:val="nil"/>
              <w:left w:val="nil"/>
              <w:bottom w:val="single" w:sz="4" w:space="0" w:color="auto"/>
              <w:right w:val="single" w:sz="4" w:space="0" w:color="auto"/>
            </w:tcBorders>
            <w:shd w:val="clear" w:color="auto" w:fill="auto"/>
            <w:noWrap/>
            <w:vAlign w:val="center"/>
            <w:hideMark/>
          </w:tcPr>
          <w:p w14:paraId="31E36F99"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7D3D1FD0"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1.8%</w:t>
            </w:r>
          </w:p>
        </w:tc>
      </w:tr>
    </w:tbl>
    <w:p w14:paraId="1B65B23D" w14:textId="77777777" w:rsidR="009838D3" w:rsidRDefault="009838D3" w:rsidP="009838D3">
      <w:pPr>
        <w:rPr>
          <w:b/>
        </w:rPr>
      </w:pPr>
    </w:p>
    <w:tbl>
      <w:tblPr>
        <w:tblW w:w="5000" w:type="pct"/>
        <w:tblLook w:val="04A0" w:firstRow="1" w:lastRow="0" w:firstColumn="1" w:lastColumn="0" w:noHBand="0" w:noVBand="1"/>
      </w:tblPr>
      <w:tblGrid>
        <w:gridCol w:w="1967"/>
        <w:gridCol w:w="705"/>
        <w:gridCol w:w="585"/>
        <w:gridCol w:w="585"/>
        <w:gridCol w:w="585"/>
        <w:gridCol w:w="585"/>
        <w:gridCol w:w="585"/>
        <w:gridCol w:w="586"/>
        <w:gridCol w:w="586"/>
        <w:gridCol w:w="586"/>
        <w:gridCol w:w="593"/>
        <w:gridCol w:w="586"/>
        <w:gridCol w:w="816"/>
      </w:tblGrid>
      <w:tr w:rsidR="00023591" w:rsidRPr="00060617" w14:paraId="2FA634F1" w14:textId="77777777" w:rsidTr="003556DD">
        <w:trPr>
          <w:trHeight w:val="600"/>
        </w:trPr>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126D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Five-Year Graduation Rate</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C3E8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Baseline</w:t>
            </w:r>
          </w:p>
        </w:tc>
        <w:tc>
          <w:tcPr>
            <w:tcW w:w="3154" w:type="pct"/>
            <w:gridSpan w:val="9"/>
            <w:tcBorders>
              <w:top w:val="single" w:sz="4" w:space="0" w:color="auto"/>
              <w:left w:val="nil"/>
              <w:bottom w:val="single" w:sz="4" w:space="0" w:color="auto"/>
              <w:right w:val="single" w:sz="4" w:space="0" w:color="auto"/>
            </w:tcBorders>
            <w:shd w:val="clear" w:color="auto" w:fill="auto"/>
            <w:vAlign w:val="center"/>
            <w:hideMark/>
          </w:tcPr>
          <w:p w14:paraId="1FA6B56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Measures of Interim Progress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59890DE6"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Long-Term Goal</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70B37"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Annual Increment Needed</w:t>
            </w:r>
          </w:p>
        </w:tc>
      </w:tr>
      <w:tr w:rsidR="00023591" w:rsidRPr="00060617" w14:paraId="03DA447B"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1649D40D" w14:textId="77777777" w:rsidR="00023591" w:rsidRPr="005E58F6" w:rsidRDefault="00023591" w:rsidP="003556DD">
            <w:pPr>
              <w:spacing w:after="0" w:line="240" w:lineRule="auto"/>
              <w:rPr>
                <w:rFonts w:ascii="Calibri" w:eastAsia="Times New Roman" w:hAnsi="Calibri" w:cs="Times New Roman"/>
                <w:color w:val="000000"/>
                <w:sz w:val="14"/>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958A9AD" w14:textId="77777777" w:rsidR="00023591" w:rsidRPr="005E58F6" w:rsidRDefault="00023591" w:rsidP="003556DD">
            <w:pPr>
              <w:spacing w:after="0" w:line="240" w:lineRule="auto"/>
              <w:rPr>
                <w:rFonts w:ascii="Calibri" w:eastAsia="Times New Roman" w:hAnsi="Calibri" w:cs="Times New Roman"/>
                <w:b/>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4972191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1</w:t>
            </w:r>
          </w:p>
        </w:tc>
        <w:tc>
          <w:tcPr>
            <w:tcW w:w="350" w:type="pct"/>
            <w:tcBorders>
              <w:top w:val="nil"/>
              <w:left w:val="nil"/>
              <w:bottom w:val="single" w:sz="4" w:space="0" w:color="auto"/>
              <w:right w:val="single" w:sz="4" w:space="0" w:color="auto"/>
            </w:tcBorders>
            <w:shd w:val="clear" w:color="auto" w:fill="auto"/>
            <w:vAlign w:val="center"/>
            <w:hideMark/>
          </w:tcPr>
          <w:p w14:paraId="3939F0A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2</w:t>
            </w:r>
          </w:p>
        </w:tc>
        <w:tc>
          <w:tcPr>
            <w:tcW w:w="350" w:type="pct"/>
            <w:tcBorders>
              <w:top w:val="nil"/>
              <w:left w:val="nil"/>
              <w:bottom w:val="single" w:sz="4" w:space="0" w:color="auto"/>
              <w:right w:val="single" w:sz="4" w:space="0" w:color="auto"/>
            </w:tcBorders>
            <w:shd w:val="clear" w:color="auto" w:fill="auto"/>
            <w:vAlign w:val="center"/>
            <w:hideMark/>
          </w:tcPr>
          <w:p w14:paraId="7ED3352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3</w:t>
            </w:r>
          </w:p>
        </w:tc>
        <w:tc>
          <w:tcPr>
            <w:tcW w:w="350" w:type="pct"/>
            <w:tcBorders>
              <w:top w:val="nil"/>
              <w:left w:val="nil"/>
              <w:bottom w:val="single" w:sz="4" w:space="0" w:color="auto"/>
              <w:right w:val="single" w:sz="4" w:space="0" w:color="auto"/>
            </w:tcBorders>
            <w:shd w:val="clear" w:color="auto" w:fill="auto"/>
            <w:vAlign w:val="center"/>
            <w:hideMark/>
          </w:tcPr>
          <w:p w14:paraId="07ABE3C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4</w:t>
            </w:r>
          </w:p>
        </w:tc>
        <w:tc>
          <w:tcPr>
            <w:tcW w:w="350" w:type="pct"/>
            <w:tcBorders>
              <w:top w:val="nil"/>
              <w:left w:val="nil"/>
              <w:bottom w:val="single" w:sz="4" w:space="0" w:color="auto"/>
              <w:right w:val="single" w:sz="4" w:space="0" w:color="auto"/>
            </w:tcBorders>
            <w:shd w:val="clear" w:color="auto" w:fill="auto"/>
            <w:vAlign w:val="center"/>
            <w:hideMark/>
          </w:tcPr>
          <w:p w14:paraId="684D25D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5</w:t>
            </w:r>
          </w:p>
        </w:tc>
        <w:tc>
          <w:tcPr>
            <w:tcW w:w="350" w:type="pct"/>
            <w:tcBorders>
              <w:top w:val="nil"/>
              <w:left w:val="nil"/>
              <w:bottom w:val="single" w:sz="4" w:space="0" w:color="auto"/>
              <w:right w:val="single" w:sz="4" w:space="0" w:color="auto"/>
            </w:tcBorders>
            <w:shd w:val="clear" w:color="auto" w:fill="auto"/>
            <w:vAlign w:val="center"/>
            <w:hideMark/>
          </w:tcPr>
          <w:p w14:paraId="72B2D62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6</w:t>
            </w:r>
          </w:p>
        </w:tc>
        <w:tc>
          <w:tcPr>
            <w:tcW w:w="350" w:type="pct"/>
            <w:tcBorders>
              <w:top w:val="nil"/>
              <w:left w:val="nil"/>
              <w:bottom w:val="single" w:sz="4" w:space="0" w:color="auto"/>
              <w:right w:val="single" w:sz="4" w:space="0" w:color="auto"/>
            </w:tcBorders>
            <w:shd w:val="clear" w:color="auto" w:fill="auto"/>
            <w:vAlign w:val="center"/>
            <w:hideMark/>
          </w:tcPr>
          <w:p w14:paraId="51CE262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7</w:t>
            </w:r>
          </w:p>
        </w:tc>
        <w:tc>
          <w:tcPr>
            <w:tcW w:w="350" w:type="pct"/>
            <w:tcBorders>
              <w:top w:val="nil"/>
              <w:left w:val="nil"/>
              <w:bottom w:val="single" w:sz="4" w:space="0" w:color="auto"/>
              <w:right w:val="single" w:sz="4" w:space="0" w:color="auto"/>
            </w:tcBorders>
            <w:shd w:val="clear" w:color="auto" w:fill="auto"/>
            <w:vAlign w:val="center"/>
            <w:hideMark/>
          </w:tcPr>
          <w:p w14:paraId="6C998DF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8</w:t>
            </w:r>
          </w:p>
        </w:tc>
        <w:tc>
          <w:tcPr>
            <w:tcW w:w="350" w:type="pct"/>
            <w:tcBorders>
              <w:top w:val="nil"/>
              <w:left w:val="nil"/>
              <w:bottom w:val="single" w:sz="4" w:space="0" w:color="auto"/>
              <w:right w:val="single" w:sz="4" w:space="0" w:color="auto"/>
            </w:tcBorders>
            <w:shd w:val="clear" w:color="auto" w:fill="auto"/>
            <w:vAlign w:val="center"/>
            <w:hideMark/>
          </w:tcPr>
          <w:p w14:paraId="59E9001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Year 9</w:t>
            </w:r>
          </w:p>
        </w:tc>
        <w:tc>
          <w:tcPr>
            <w:tcW w:w="350" w:type="pct"/>
            <w:tcBorders>
              <w:top w:val="nil"/>
              <w:left w:val="nil"/>
              <w:bottom w:val="single" w:sz="4" w:space="0" w:color="auto"/>
              <w:right w:val="single" w:sz="4" w:space="0" w:color="auto"/>
            </w:tcBorders>
            <w:shd w:val="clear" w:color="auto" w:fill="auto"/>
            <w:vAlign w:val="center"/>
            <w:hideMark/>
          </w:tcPr>
          <w:p w14:paraId="5AB67D9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Year 10</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5FD5CB5" w14:textId="77777777" w:rsidR="00023591" w:rsidRPr="005E58F6" w:rsidRDefault="00023591" w:rsidP="003556DD">
            <w:pPr>
              <w:spacing w:after="0" w:line="240" w:lineRule="auto"/>
              <w:rPr>
                <w:rFonts w:ascii="Calibri" w:eastAsia="Times New Roman" w:hAnsi="Calibri" w:cs="Times New Roman"/>
                <w:b/>
                <w:color w:val="FF0000"/>
                <w:sz w:val="14"/>
              </w:rPr>
            </w:pPr>
          </w:p>
        </w:tc>
      </w:tr>
      <w:tr w:rsidR="00023591" w:rsidRPr="00060617" w14:paraId="1FE3C82E" w14:textId="77777777" w:rsidTr="003556DD">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6781C30D" w14:textId="77777777" w:rsidR="00023591" w:rsidRPr="005E58F6" w:rsidRDefault="00023591" w:rsidP="003556DD">
            <w:pPr>
              <w:spacing w:after="0" w:line="240" w:lineRule="auto"/>
              <w:rPr>
                <w:rFonts w:ascii="Calibri" w:eastAsia="Times New Roman" w:hAnsi="Calibri" w:cs="Times New Roman"/>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7824B58B"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2016-2017</w:t>
            </w:r>
          </w:p>
        </w:tc>
        <w:tc>
          <w:tcPr>
            <w:tcW w:w="350" w:type="pct"/>
            <w:tcBorders>
              <w:top w:val="nil"/>
              <w:left w:val="nil"/>
              <w:bottom w:val="single" w:sz="4" w:space="0" w:color="auto"/>
              <w:right w:val="single" w:sz="4" w:space="0" w:color="auto"/>
            </w:tcBorders>
            <w:shd w:val="clear" w:color="auto" w:fill="auto"/>
            <w:vAlign w:val="center"/>
            <w:hideMark/>
          </w:tcPr>
          <w:p w14:paraId="33557DF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2017-2018</w:t>
            </w:r>
          </w:p>
        </w:tc>
        <w:tc>
          <w:tcPr>
            <w:tcW w:w="350" w:type="pct"/>
            <w:tcBorders>
              <w:top w:val="nil"/>
              <w:left w:val="nil"/>
              <w:bottom w:val="single" w:sz="4" w:space="0" w:color="auto"/>
              <w:right w:val="single" w:sz="4" w:space="0" w:color="auto"/>
            </w:tcBorders>
            <w:shd w:val="clear" w:color="auto" w:fill="auto"/>
            <w:vAlign w:val="center"/>
            <w:hideMark/>
          </w:tcPr>
          <w:p w14:paraId="71CD8ED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2018-2019</w:t>
            </w:r>
          </w:p>
        </w:tc>
        <w:tc>
          <w:tcPr>
            <w:tcW w:w="350" w:type="pct"/>
            <w:tcBorders>
              <w:top w:val="nil"/>
              <w:left w:val="nil"/>
              <w:bottom w:val="single" w:sz="4" w:space="0" w:color="auto"/>
              <w:right w:val="single" w:sz="4" w:space="0" w:color="auto"/>
            </w:tcBorders>
            <w:shd w:val="clear" w:color="auto" w:fill="auto"/>
            <w:vAlign w:val="center"/>
            <w:hideMark/>
          </w:tcPr>
          <w:p w14:paraId="75EDDDD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2019-2020</w:t>
            </w:r>
          </w:p>
        </w:tc>
        <w:tc>
          <w:tcPr>
            <w:tcW w:w="350" w:type="pct"/>
            <w:tcBorders>
              <w:top w:val="nil"/>
              <w:left w:val="nil"/>
              <w:bottom w:val="single" w:sz="4" w:space="0" w:color="auto"/>
              <w:right w:val="single" w:sz="4" w:space="0" w:color="auto"/>
            </w:tcBorders>
            <w:shd w:val="clear" w:color="auto" w:fill="auto"/>
            <w:vAlign w:val="center"/>
            <w:hideMark/>
          </w:tcPr>
          <w:p w14:paraId="416383C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2020-2021</w:t>
            </w:r>
          </w:p>
        </w:tc>
        <w:tc>
          <w:tcPr>
            <w:tcW w:w="350" w:type="pct"/>
            <w:tcBorders>
              <w:top w:val="nil"/>
              <w:left w:val="nil"/>
              <w:bottom w:val="single" w:sz="4" w:space="0" w:color="auto"/>
              <w:right w:val="single" w:sz="4" w:space="0" w:color="auto"/>
            </w:tcBorders>
            <w:shd w:val="clear" w:color="auto" w:fill="auto"/>
            <w:vAlign w:val="center"/>
            <w:hideMark/>
          </w:tcPr>
          <w:p w14:paraId="21C23B1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2021-2022</w:t>
            </w:r>
          </w:p>
        </w:tc>
        <w:tc>
          <w:tcPr>
            <w:tcW w:w="350" w:type="pct"/>
            <w:tcBorders>
              <w:top w:val="nil"/>
              <w:left w:val="nil"/>
              <w:bottom w:val="single" w:sz="4" w:space="0" w:color="auto"/>
              <w:right w:val="single" w:sz="4" w:space="0" w:color="auto"/>
            </w:tcBorders>
            <w:shd w:val="clear" w:color="auto" w:fill="auto"/>
            <w:vAlign w:val="center"/>
            <w:hideMark/>
          </w:tcPr>
          <w:p w14:paraId="336188C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2022-2023</w:t>
            </w:r>
          </w:p>
        </w:tc>
        <w:tc>
          <w:tcPr>
            <w:tcW w:w="350" w:type="pct"/>
            <w:tcBorders>
              <w:top w:val="nil"/>
              <w:left w:val="nil"/>
              <w:bottom w:val="single" w:sz="4" w:space="0" w:color="auto"/>
              <w:right w:val="single" w:sz="4" w:space="0" w:color="auto"/>
            </w:tcBorders>
            <w:shd w:val="clear" w:color="auto" w:fill="auto"/>
            <w:vAlign w:val="center"/>
            <w:hideMark/>
          </w:tcPr>
          <w:p w14:paraId="3FC8B5D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2023-2024</w:t>
            </w:r>
          </w:p>
        </w:tc>
        <w:tc>
          <w:tcPr>
            <w:tcW w:w="350" w:type="pct"/>
            <w:tcBorders>
              <w:top w:val="nil"/>
              <w:left w:val="nil"/>
              <w:bottom w:val="single" w:sz="4" w:space="0" w:color="auto"/>
              <w:right w:val="single" w:sz="4" w:space="0" w:color="auto"/>
            </w:tcBorders>
            <w:shd w:val="clear" w:color="auto" w:fill="auto"/>
            <w:vAlign w:val="center"/>
            <w:hideMark/>
          </w:tcPr>
          <w:p w14:paraId="11F610B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2024-2025</w:t>
            </w:r>
          </w:p>
        </w:tc>
        <w:tc>
          <w:tcPr>
            <w:tcW w:w="350" w:type="pct"/>
            <w:tcBorders>
              <w:top w:val="nil"/>
              <w:left w:val="nil"/>
              <w:bottom w:val="single" w:sz="4" w:space="0" w:color="auto"/>
              <w:right w:val="single" w:sz="4" w:space="0" w:color="auto"/>
            </w:tcBorders>
            <w:shd w:val="clear" w:color="auto" w:fill="auto"/>
            <w:vAlign w:val="center"/>
            <w:hideMark/>
          </w:tcPr>
          <w:p w14:paraId="27EC1B1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2025-2026</w:t>
            </w:r>
          </w:p>
        </w:tc>
        <w:tc>
          <w:tcPr>
            <w:tcW w:w="350" w:type="pct"/>
            <w:tcBorders>
              <w:top w:val="nil"/>
              <w:left w:val="nil"/>
              <w:bottom w:val="single" w:sz="4" w:space="0" w:color="auto"/>
              <w:right w:val="single" w:sz="4" w:space="0" w:color="auto"/>
            </w:tcBorders>
            <w:shd w:val="clear" w:color="auto" w:fill="auto"/>
            <w:vAlign w:val="center"/>
            <w:hideMark/>
          </w:tcPr>
          <w:p w14:paraId="27D91130"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2026-2027</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D751642" w14:textId="77777777" w:rsidR="00023591" w:rsidRPr="005E58F6" w:rsidRDefault="00023591" w:rsidP="003556DD">
            <w:pPr>
              <w:spacing w:after="0" w:line="240" w:lineRule="auto"/>
              <w:rPr>
                <w:rFonts w:ascii="Calibri" w:eastAsia="Times New Roman" w:hAnsi="Calibri" w:cs="Times New Roman"/>
                <w:b/>
                <w:color w:val="FF0000"/>
                <w:sz w:val="14"/>
              </w:rPr>
            </w:pPr>
          </w:p>
        </w:tc>
      </w:tr>
      <w:tr w:rsidR="00023591" w:rsidRPr="00060617" w14:paraId="76178E73"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0835D4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All students</w:t>
            </w:r>
          </w:p>
        </w:tc>
        <w:tc>
          <w:tcPr>
            <w:tcW w:w="350" w:type="pct"/>
            <w:tcBorders>
              <w:top w:val="nil"/>
              <w:left w:val="nil"/>
              <w:bottom w:val="single" w:sz="4" w:space="0" w:color="auto"/>
              <w:right w:val="single" w:sz="4" w:space="0" w:color="auto"/>
            </w:tcBorders>
            <w:shd w:val="clear" w:color="auto" w:fill="auto"/>
            <w:noWrap/>
            <w:vAlign w:val="center"/>
            <w:hideMark/>
          </w:tcPr>
          <w:p w14:paraId="4A9D90EE"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81.3%</w:t>
            </w:r>
          </w:p>
        </w:tc>
        <w:tc>
          <w:tcPr>
            <w:tcW w:w="350" w:type="pct"/>
            <w:tcBorders>
              <w:top w:val="nil"/>
              <w:left w:val="nil"/>
              <w:bottom w:val="single" w:sz="4" w:space="0" w:color="auto"/>
              <w:right w:val="single" w:sz="4" w:space="0" w:color="auto"/>
            </w:tcBorders>
            <w:shd w:val="clear" w:color="auto" w:fill="auto"/>
            <w:noWrap/>
            <w:vAlign w:val="center"/>
            <w:hideMark/>
          </w:tcPr>
          <w:p w14:paraId="19CDE02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82.5%</w:t>
            </w:r>
          </w:p>
        </w:tc>
        <w:tc>
          <w:tcPr>
            <w:tcW w:w="350" w:type="pct"/>
            <w:tcBorders>
              <w:top w:val="nil"/>
              <w:left w:val="nil"/>
              <w:bottom w:val="single" w:sz="4" w:space="0" w:color="auto"/>
              <w:right w:val="single" w:sz="4" w:space="0" w:color="auto"/>
            </w:tcBorders>
            <w:shd w:val="clear" w:color="auto" w:fill="auto"/>
            <w:noWrap/>
            <w:vAlign w:val="center"/>
            <w:hideMark/>
          </w:tcPr>
          <w:p w14:paraId="0A1C96A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05CD3D4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84.8%</w:t>
            </w:r>
          </w:p>
        </w:tc>
        <w:tc>
          <w:tcPr>
            <w:tcW w:w="350" w:type="pct"/>
            <w:tcBorders>
              <w:top w:val="nil"/>
              <w:left w:val="nil"/>
              <w:bottom w:val="single" w:sz="4" w:space="0" w:color="auto"/>
              <w:right w:val="single" w:sz="4" w:space="0" w:color="auto"/>
            </w:tcBorders>
            <w:shd w:val="clear" w:color="auto" w:fill="auto"/>
            <w:noWrap/>
            <w:vAlign w:val="center"/>
            <w:hideMark/>
          </w:tcPr>
          <w:p w14:paraId="2DB4526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86.0%</w:t>
            </w:r>
          </w:p>
        </w:tc>
        <w:tc>
          <w:tcPr>
            <w:tcW w:w="350" w:type="pct"/>
            <w:tcBorders>
              <w:top w:val="nil"/>
              <w:left w:val="nil"/>
              <w:bottom w:val="single" w:sz="4" w:space="0" w:color="auto"/>
              <w:right w:val="single" w:sz="4" w:space="0" w:color="auto"/>
            </w:tcBorders>
            <w:shd w:val="clear" w:color="auto" w:fill="auto"/>
            <w:noWrap/>
            <w:vAlign w:val="center"/>
            <w:hideMark/>
          </w:tcPr>
          <w:p w14:paraId="79CA77E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87.2%</w:t>
            </w:r>
          </w:p>
        </w:tc>
        <w:tc>
          <w:tcPr>
            <w:tcW w:w="350" w:type="pct"/>
            <w:tcBorders>
              <w:top w:val="nil"/>
              <w:left w:val="nil"/>
              <w:bottom w:val="single" w:sz="4" w:space="0" w:color="auto"/>
              <w:right w:val="single" w:sz="4" w:space="0" w:color="auto"/>
            </w:tcBorders>
            <w:shd w:val="clear" w:color="auto" w:fill="auto"/>
            <w:noWrap/>
            <w:vAlign w:val="center"/>
            <w:hideMark/>
          </w:tcPr>
          <w:p w14:paraId="67660EF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88.3%</w:t>
            </w:r>
          </w:p>
        </w:tc>
        <w:tc>
          <w:tcPr>
            <w:tcW w:w="350" w:type="pct"/>
            <w:tcBorders>
              <w:top w:val="nil"/>
              <w:left w:val="nil"/>
              <w:bottom w:val="single" w:sz="4" w:space="0" w:color="auto"/>
              <w:right w:val="single" w:sz="4" w:space="0" w:color="auto"/>
            </w:tcBorders>
            <w:shd w:val="clear" w:color="auto" w:fill="auto"/>
            <w:noWrap/>
            <w:vAlign w:val="center"/>
            <w:hideMark/>
          </w:tcPr>
          <w:p w14:paraId="5158E8E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89.5%</w:t>
            </w:r>
          </w:p>
        </w:tc>
        <w:tc>
          <w:tcPr>
            <w:tcW w:w="350" w:type="pct"/>
            <w:tcBorders>
              <w:top w:val="nil"/>
              <w:left w:val="nil"/>
              <w:bottom w:val="single" w:sz="4" w:space="0" w:color="auto"/>
              <w:right w:val="single" w:sz="4" w:space="0" w:color="auto"/>
            </w:tcBorders>
            <w:shd w:val="clear" w:color="auto" w:fill="auto"/>
            <w:noWrap/>
            <w:vAlign w:val="center"/>
            <w:hideMark/>
          </w:tcPr>
          <w:p w14:paraId="5AECCC1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90.7%</w:t>
            </w:r>
          </w:p>
        </w:tc>
        <w:tc>
          <w:tcPr>
            <w:tcW w:w="350" w:type="pct"/>
            <w:tcBorders>
              <w:top w:val="nil"/>
              <w:left w:val="nil"/>
              <w:bottom w:val="single" w:sz="4" w:space="0" w:color="auto"/>
              <w:right w:val="single" w:sz="4" w:space="0" w:color="auto"/>
            </w:tcBorders>
            <w:shd w:val="clear" w:color="auto" w:fill="auto"/>
            <w:noWrap/>
            <w:vAlign w:val="center"/>
            <w:hideMark/>
          </w:tcPr>
          <w:p w14:paraId="495DD80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91.8%</w:t>
            </w:r>
          </w:p>
        </w:tc>
        <w:tc>
          <w:tcPr>
            <w:tcW w:w="350" w:type="pct"/>
            <w:tcBorders>
              <w:top w:val="nil"/>
              <w:left w:val="nil"/>
              <w:bottom w:val="single" w:sz="4" w:space="0" w:color="auto"/>
              <w:right w:val="single" w:sz="4" w:space="0" w:color="auto"/>
            </w:tcBorders>
            <w:shd w:val="clear" w:color="auto" w:fill="auto"/>
            <w:noWrap/>
            <w:vAlign w:val="center"/>
            <w:hideMark/>
          </w:tcPr>
          <w:p w14:paraId="303590A9"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11FB7080"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1.2%</w:t>
            </w:r>
          </w:p>
        </w:tc>
      </w:tr>
      <w:tr w:rsidR="00023591" w:rsidRPr="00060617" w14:paraId="7C3C3041"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0C0DB9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African American</w:t>
            </w:r>
          </w:p>
        </w:tc>
        <w:tc>
          <w:tcPr>
            <w:tcW w:w="350" w:type="pct"/>
            <w:tcBorders>
              <w:top w:val="nil"/>
              <w:left w:val="nil"/>
              <w:bottom w:val="single" w:sz="4" w:space="0" w:color="auto"/>
              <w:right w:val="single" w:sz="4" w:space="0" w:color="auto"/>
            </w:tcBorders>
            <w:shd w:val="clear" w:color="auto" w:fill="auto"/>
            <w:noWrap/>
            <w:vAlign w:val="center"/>
            <w:hideMark/>
          </w:tcPr>
          <w:p w14:paraId="01B44B6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81.5%</w:t>
            </w:r>
          </w:p>
        </w:tc>
        <w:tc>
          <w:tcPr>
            <w:tcW w:w="350" w:type="pct"/>
            <w:tcBorders>
              <w:top w:val="nil"/>
              <w:left w:val="nil"/>
              <w:bottom w:val="single" w:sz="4" w:space="0" w:color="auto"/>
              <w:right w:val="single" w:sz="4" w:space="0" w:color="auto"/>
            </w:tcBorders>
            <w:shd w:val="clear" w:color="auto" w:fill="auto"/>
            <w:noWrap/>
            <w:vAlign w:val="center"/>
            <w:hideMark/>
          </w:tcPr>
          <w:p w14:paraId="7CBC8BD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82.7%</w:t>
            </w:r>
          </w:p>
        </w:tc>
        <w:tc>
          <w:tcPr>
            <w:tcW w:w="350" w:type="pct"/>
            <w:tcBorders>
              <w:top w:val="nil"/>
              <w:left w:val="nil"/>
              <w:bottom w:val="single" w:sz="4" w:space="0" w:color="auto"/>
              <w:right w:val="single" w:sz="4" w:space="0" w:color="auto"/>
            </w:tcBorders>
            <w:shd w:val="clear" w:color="auto" w:fill="auto"/>
            <w:noWrap/>
            <w:vAlign w:val="center"/>
            <w:hideMark/>
          </w:tcPr>
          <w:p w14:paraId="684CFCD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83.8%</w:t>
            </w:r>
          </w:p>
        </w:tc>
        <w:tc>
          <w:tcPr>
            <w:tcW w:w="350" w:type="pct"/>
            <w:tcBorders>
              <w:top w:val="nil"/>
              <w:left w:val="nil"/>
              <w:bottom w:val="single" w:sz="4" w:space="0" w:color="auto"/>
              <w:right w:val="single" w:sz="4" w:space="0" w:color="auto"/>
            </w:tcBorders>
            <w:shd w:val="clear" w:color="auto" w:fill="auto"/>
            <w:noWrap/>
            <w:vAlign w:val="center"/>
            <w:hideMark/>
          </w:tcPr>
          <w:p w14:paraId="6C8CDE3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85.0%</w:t>
            </w:r>
          </w:p>
        </w:tc>
        <w:tc>
          <w:tcPr>
            <w:tcW w:w="350" w:type="pct"/>
            <w:tcBorders>
              <w:top w:val="nil"/>
              <w:left w:val="nil"/>
              <w:bottom w:val="single" w:sz="4" w:space="0" w:color="auto"/>
              <w:right w:val="single" w:sz="4" w:space="0" w:color="auto"/>
            </w:tcBorders>
            <w:shd w:val="clear" w:color="auto" w:fill="auto"/>
            <w:noWrap/>
            <w:vAlign w:val="center"/>
            <w:hideMark/>
          </w:tcPr>
          <w:p w14:paraId="73366F9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86.1%</w:t>
            </w:r>
          </w:p>
        </w:tc>
        <w:tc>
          <w:tcPr>
            <w:tcW w:w="350" w:type="pct"/>
            <w:tcBorders>
              <w:top w:val="nil"/>
              <w:left w:val="nil"/>
              <w:bottom w:val="single" w:sz="4" w:space="0" w:color="auto"/>
              <w:right w:val="single" w:sz="4" w:space="0" w:color="auto"/>
            </w:tcBorders>
            <w:shd w:val="clear" w:color="auto" w:fill="auto"/>
            <w:noWrap/>
            <w:vAlign w:val="center"/>
            <w:hideMark/>
          </w:tcPr>
          <w:p w14:paraId="0A65201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87.3%</w:t>
            </w:r>
          </w:p>
        </w:tc>
        <w:tc>
          <w:tcPr>
            <w:tcW w:w="350" w:type="pct"/>
            <w:tcBorders>
              <w:top w:val="nil"/>
              <w:left w:val="nil"/>
              <w:bottom w:val="single" w:sz="4" w:space="0" w:color="auto"/>
              <w:right w:val="single" w:sz="4" w:space="0" w:color="auto"/>
            </w:tcBorders>
            <w:shd w:val="clear" w:color="auto" w:fill="auto"/>
            <w:noWrap/>
            <w:vAlign w:val="center"/>
            <w:hideMark/>
          </w:tcPr>
          <w:p w14:paraId="648C2F6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88.4%</w:t>
            </w:r>
          </w:p>
        </w:tc>
        <w:tc>
          <w:tcPr>
            <w:tcW w:w="350" w:type="pct"/>
            <w:tcBorders>
              <w:top w:val="nil"/>
              <w:left w:val="nil"/>
              <w:bottom w:val="single" w:sz="4" w:space="0" w:color="auto"/>
              <w:right w:val="single" w:sz="4" w:space="0" w:color="auto"/>
            </w:tcBorders>
            <w:shd w:val="clear" w:color="auto" w:fill="auto"/>
            <w:noWrap/>
            <w:vAlign w:val="center"/>
            <w:hideMark/>
          </w:tcPr>
          <w:p w14:paraId="710251B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89.6%</w:t>
            </w:r>
          </w:p>
        </w:tc>
        <w:tc>
          <w:tcPr>
            <w:tcW w:w="350" w:type="pct"/>
            <w:tcBorders>
              <w:top w:val="nil"/>
              <w:left w:val="nil"/>
              <w:bottom w:val="single" w:sz="4" w:space="0" w:color="auto"/>
              <w:right w:val="single" w:sz="4" w:space="0" w:color="auto"/>
            </w:tcBorders>
            <w:shd w:val="clear" w:color="auto" w:fill="auto"/>
            <w:noWrap/>
            <w:vAlign w:val="center"/>
            <w:hideMark/>
          </w:tcPr>
          <w:p w14:paraId="01068DA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90.7%</w:t>
            </w:r>
          </w:p>
        </w:tc>
        <w:tc>
          <w:tcPr>
            <w:tcW w:w="350" w:type="pct"/>
            <w:tcBorders>
              <w:top w:val="nil"/>
              <w:left w:val="nil"/>
              <w:bottom w:val="single" w:sz="4" w:space="0" w:color="auto"/>
              <w:right w:val="single" w:sz="4" w:space="0" w:color="auto"/>
            </w:tcBorders>
            <w:shd w:val="clear" w:color="auto" w:fill="auto"/>
            <w:noWrap/>
            <w:vAlign w:val="center"/>
            <w:hideMark/>
          </w:tcPr>
          <w:p w14:paraId="737569A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91.9%</w:t>
            </w:r>
          </w:p>
        </w:tc>
        <w:tc>
          <w:tcPr>
            <w:tcW w:w="350" w:type="pct"/>
            <w:tcBorders>
              <w:top w:val="nil"/>
              <w:left w:val="nil"/>
              <w:bottom w:val="single" w:sz="4" w:space="0" w:color="auto"/>
              <w:right w:val="single" w:sz="4" w:space="0" w:color="auto"/>
            </w:tcBorders>
            <w:shd w:val="clear" w:color="auto" w:fill="auto"/>
            <w:noWrap/>
            <w:vAlign w:val="center"/>
            <w:hideMark/>
          </w:tcPr>
          <w:p w14:paraId="7A641785"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6CE7307E"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1.1%</w:t>
            </w:r>
          </w:p>
        </w:tc>
      </w:tr>
      <w:tr w:rsidR="00023591" w:rsidRPr="00060617" w14:paraId="7FFE9ACC"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C142FC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Alaska Native/American Indian</w:t>
            </w:r>
          </w:p>
        </w:tc>
        <w:tc>
          <w:tcPr>
            <w:tcW w:w="350" w:type="pct"/>
            <w:tcBorders>
              <w:top w:val="nil"/>
              <w:left w:val="nil"/>
              <w:bottom w:val="single" w:sz="4" w:space="0" w:color="auto"/>
              <w:right w:val="single" w:sz="4" w:space="0" w:color="auto"/>
            </w:tcBorders>
            <w:shd w:val="clear" w:color="auto" w:fill="auto"/>
            <w:noWrap/>
            <w:vAlign w:val="center"/>
            <w:hideMark/>
          </w:tcPr>
          <w:p w14:paraId="1D793950"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72.5%</w:t>
            </w:r>
          </w:p>
        </w:tc>
        <w:tc>
          <w:tcPr>
            <w:tcW w:w="350" w:type="pct"/>
            <w:tcBorders>
              <w:top w:val="nil"/>
              <w:left w:val="nil"/>
              <w:bottom w:val="single" w:sz="4" w:space="0" w:color="auto"/>
              <w:right w:val="single" w:sz="4" w:space="0" w:color="auto"/>
            </w:tcBorders>
            <w:shd w:val="clear" w:color="auto" w:fill="auto"/>
            <w:noWrap/>
            <w:vAlign w:val="center"/>
            <w:hideMark/>
          </w:tcPr>
          <w:p w14:paraId="4E98740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74.5%</w:t>
            </w:r>
          </w:p>
        </w:tc>
        <w:tc>
          <w:tcPr>
            <w:tcW w:w="350" w:type="pct"/>
            <w:tcBorders>
              <w:top w:val="nil"/>
              <w:left w:val="nil"/>
              <w:bottom w:val="single" w:sz="4" w:space="0" w:color="auto"/>
              <w:right w:val="single" w:sz="4" w:space="0" w:color="auto"/>
            </w:tcBorders>
            <w:shd w:val="clear" w:color="auto" w:fill="auto"/>
            <w:noWrap/>
            <w:vAlign w:val="center"/>
            <w:hideMark/>
          </w:tcPr>
          <w:p w14:paraId="49A6F7D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76.6%</w:t>
            </w:r>
          </w:p>
        </w:tc>
        <w:tc>
          <w:tcPr>
            <w:tcW w:w="350" w:type="pct"/>
            <w:tcBorders>
              <w:top w:val="nil"/>
              <w:left w:val="nil"/>
              <w:bottom w:val="single" w:sz="4" w:space="0" w:color="auto"/>
              <w:right w:val="single" w:sz="4" w:space="0" w:color="auto"/>
            </w:tcBorders>
            <w:shd w:val="clear" w:color="auto" w:fill="auto"/>
            <w:noWrap/>
            <w:vAlign w:val="center"/>
            <w:hideMark/>
          </w:tcPr>
          <w:p w14:paraId="257EFD2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78.6%</w:t>
            </w:r>
          </w:p>
        </w:tc>
        <w:tc>
          <w:tcPr>
            <w:tcW w:w="350" w:type="pct"/>
            <w:tcBorders>
              <w:top w:val="nil"/>
              <w:left w:val="nil"/>
              <w:bottom w:val="single" w:sz="4" w:space="0" w:color="auto"/>
              <w:right w:val="single" w:sz="4" w:space="0" w:color="auto"/>
            </w:tcBorders>
            <w:shd w:val="clear" w:color="auto" w:fill="auto"/>
            <w:noWrap/>
            <w:vAlign w:val="center"/>
            <w:hideMark/>
          </w:tcPr>
          <w:p w14:paraId="13C17E6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80.7%</w:t>
            </w:r>
          </w:p>
        </w:tc>
        <w:tc>
          <w:tcPr>
            <w:tcW w:w="350" w:type="pct"/>
            <w:tcBorders>
              <w:top w:val="nil"/>
              <w:left w:val="nil"/>
              <w:bottom w:val="single" w:sz="4" w:space="0" w:color="auto"/>
              <w:right w:val="single" w:sz="4" w:space="0" w:color="auto"/>
            </w:tcBorders>
            <w:shd w:val="clear" w:color="auto" w:fill="auto"/>
            <w:noWrap/>
            <w:vAlign w:val="center"/>
            <w:hideMark/>
          </w:tcPr>
          <w:p w14:paraId="011C189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82.7%</w:t>
            </w:r>
          </w:p>
        </w:tc>
        <w:tc>
          <w:tcPr>
            <w:tcW w:w="350" w:type="pct"/>
            <w:tcBorders>
              <w:top w:val="nil"/>
              <w:left w:val="nil"/>
              <w:bottom w:val="single" w:sz="4" w:space="0" w:color="auto"/>
              <w:right w:val="single" w:sz="4" w:space="0" w:color="auto"/>
            </w:tcBorders>
            <w:shd w:val="clear" w:color="auto" w:fill="auto"/>
            <w:noWrap/>
            <w:vAlign w:val="center"/>
            <w:hideMark/>
          </w:tcPr>
          <w:p w14:paraId="2DE7BEB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84.8%</w:t>
            </w:r>
          </w:p>
        </w:tc>
        <w:tc>
          <w:tcPr>
            <w:tcW w:w="350" w:type="pct"/>
            <w:tcBorders>
              <w:top w:val="nil"/>
              <w:left w:val="nil"/>
              <w:bottom w:val="single" w:sz="4" w:space="0" w:color="auto"/>
              <w:right w:val="single" w:sz="4" w:space="0" w:color="auto"/>
            </w:tcBorders>
            <w:shd w:val="clear" w:color="auto" w:fill="auto"/>
            <w:noWrap/>
            <w:vAlign w:val="center"/>
            <w:hideMark/>
          </w:tcPr>
          <w:p w14:paraId="2E8BF08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86.8%</w:t>
            </w:r>
          </w:p>
        </w:tc>
        <w:tc>
          <w:tcPr>
            <w:tcW w:w="350" w:type="pct"/>
            <w:tcBorders>
              <w:top w:val="nil"/>
              <w:left w:val="nil"/>
              <w:bottom w:val="single" w:sz="4" w:space="0" w:color="auto"/>
              <w:right w:val="single" w:sz="4" w:space="0" w:color="auto"/>
            </w:tcBorders>
            <w:shd w:val="clear" w:color="auto" w:fill="auto"/>
            <w:noWrap/>
            <w:vAlign w:val="center"/>
            <w:hideMark/>
          </w:tcPr>
          <w:p w14:paraId="4997816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88.9%</w:t>
            </w:r>
          </w:p>
        </w:tc>
        <w:tc>
          <w:tcPr>
            <w:tcW w:w="350" w:type="pct"/>
            <w:tcBorders>
              <w:top w:val="nil"/>
              <w:left w:val="nil"/>
              <w:bottom w:val="single" w:sz="4" w:space="0" w:color="auto"/>
              <w:right w:val="single" w:sz="4" w:space="0" w:color="auto"/>
            </w:tcBorders>
            <w:shd w:val="clear" w:color="auto" w:fill="auto"/>
            <w:noWrap/>
            <w:vAlign w:val="center"/>
            <w:hideMark/>
          </w:tcPr>
          <w:p w14:paraId="544B8B5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90.9%</w:t>
            </w:r>
          </w:p>
        </w:tc>
        <w:tc>
          <w:tcPr>
            <w:tcW w:w="350" w:type="pct"/>
            <w:tcBorders>
              <w:top w:val="nil"/>
              <w:left w:val="nil"/>
              <w:bottom w:val="single" w:sz="4" w:space="0" w:color="auto"/>
              <w:right w:val="single" w:sz="4" w:space="0" w:color="auto"/>
            </w:tcBorders>
            <w:shd w:val="clear" w:color="auto" w:fill="auto"/>
            <w:noWrap/>
            <w:vAlign w:val="center"/>
            <w:hideMark/>
          </w:tcPr>
          <w:p w14:paraId="712D7EFD"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796DAFCF"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2.1%</w:t>
            </w:r>
          </w:p>
        </w:tc>
      </w:tr>
      <w:tr w:rsidR="00023591" w:rsidRPr="00060617" w14:paraId="58AA3235"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585750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Asian/Pacific Islander</w:t>
            </w:r>
          </w:p>
        </w:tc>
        <w:tc>
          <w:tcPr>
            <w:tcW w:w="350" w:type="pct"/>
            <w:tcBorders>
              <w:top w:val="nil"/>
              <w:left w:val="nil"/>
              <w:bottom w:val="single" w:sz="4" w:space="0" w:color="auto"/>
              <w:right w:val="single" w:sz="4" w:space="0" w:color="auto"/>
            </w:tcBorders>
            <w:shd w:val="clear" w:color="auto" w:fill="auto"/>
            <w:noWrap/>
            <w:vAlign w:val="center"/>
            <w:hideMark/>
          </w:tcPr>
          <w:p w14:paraId="4BE75D3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85.6%</w:t>
            </w:r>
          </w:p>
        </w:tc>
        <w:tc>
          <w:tcPr>
            <w:tcW w:w="350" w:type="pct"/>
            <w:tcBorders>
              <w:top w:val="nil"/>
              <w:left w:val="nil"/>
              <w:bottom w:val="single" w:sz="4" w:space="0" w:color="auto"/>
              <w:right w:val="single" w:sz="4" w:space="0" w:color="auto"/>
            </w:tcBorders>
            <w:shd w:val="clear" w:color="auto" w:fill="auto"/>
            <w:noWrap/>
            <w:vAlign w:val="center"/>
            <w:hideMark/>
          </w:tcPr>
          <w:p w14:paraId="05EEFDD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86.3%</w:t>
            </w:r>
          </w:p>
        </w:tc>
        <w:tc>
          <w:tcPr>
            <w:tcW w:w="350" w:type="pct"/>
            <w:tcBorders>
              <w:top w:val="nil"/>
              <w:left w:val="nil"/>
              <w:bottom w:val="single" w:sz="4" w:space="0" w:color="auto"/>
              <w:right w:val="single" w:sz="4" w:space="0" w:color="auto"/>
            </w:tcBorders>
            <w:shd w:val="clear" w:color="auto" w:fill="auto"/>
            <w:noWrap/>
            <w:vAlign w:val="center"/>
            <w:hideMark/>
          </w:tcPr>
          <w:p w14:paraId="3C8DD1B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87.1%</w:t>
            </w:r>
          </w:p>
        </w:tc>
        <w:tc>
          <w:tcPr>
            <w:tcW w:w="350" w:type="pct"/>
            <w:tcBorders>
              <w:top w:val="nil"/>
              <w:left w:val="nil"/>
              <w:bottom w:val="single" w:sz="4" w:space="0" w:color="auto"/>
              <w:right w:val="single" w:sz="4" w:space="0" w:color="auto"/>
            </w:tcBorders>
            <w:shd w:val="clear" w:color="auto" w:fill="auto"/>
            <w:noWrap/>
            <w:vAlign w:val="center"/>
            <w:hideMark/>
          </w:tcPr>
          <w:p w14:paraId="27B234F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87.8%</w:t>
            </w:r>
          </w:p>
        </w:tc>
        <w:tc>
          <w:tcPr>
            <w:tcW w:w="350" w:type="pct"/>
            <w:tcBorders>
              <w:top w:val="nil"/>
              <w:left w:val="nil"/>
              <w:bottom w:val="single" w:sz="4" w:space="0" w:color="auto"/>
              <w:right w:val="single" w:sz="4" w:space="0" w:color="auto"/>
            </w:tcBorders>
            <w:shd w:val="clear" w:color="auto" w:fill="auto"/>
            <w:noWrap/>
            <w:vAlign w:val="center"/>
            <w:hideMark/>
          </w:tcPr>
          <w:p w14:paraId="7AA5B98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88.6%</w:t>
            </w:r>
          </w:p>
        </w:tc>
        <w:tc>
          <w:tcPr>
            <w:tcW w:w="350" w:type="pct"/>
            <w:tcBorders>
              <w:top w:val="nil"/>
              <w:left w:val="nil"/>
              <w:bottom w:val="single" w:sz="4" w:space="0" w:color="auto"/>
              <w:right w:val="single" w:sz="4" w:space="0" w:color="auto"/>
            </w:tcBorders>
            <w:shd w:val="clear" w:color="auto" w:fill="auto"/>
            <w:noWrap/>
            <w:vAlign w:val="center"/>
            <w:hideMark/>
          </w:tcPr>
          <w:p w14:paraId="42CB177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89.3%</w:t>
            </w:r>
          </w:p>
        </w:tc>
        <w:tc>
          <w:tcPr>
            <w:tcW w:w="350" w:type="pct"/>
            <w:tcBorders>
              <w:top w:val="nil"/>
              <w:left w:val="nil"/>
              <w:bottom w:val="single" w:sz="4" w:space="0" w:color="auto"/>
              <w:right w:val="single" w:sz="4" w:space="0" w:color="auto"/>
            </w:tcBorders>
            <w:shd w:val="clear" w:color="auto" w:fill="auto"/>
            <w:noWrap/>
            <w:vAlign w:val="center"/>
            <w:hideMark/>
          </w:tcPr>
          <w:p w14:paraId="044FABF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90.0%</w:t>
            </w:r>
          </w:p>
        </w:tc>
        <w:tc>
          <w:tcPr>
            <w:tcW w:w="350" w:type="pct"/>
            <w:tcBorders>
              <w:top w:val="nil"/>
              <w:left w:val="nil"/>
              <w:bottom w:val="single" w:sz="4" w:space="0" w:color="auto"/>
              <w:right w:val="single" w:sz="4" w:space="0" w:color="auto"/>
            </w:tcBorders>
            <w:shd w:val="clear" w:color="auto" w:fill="auto"/>
            <w:noWrap/>
            <w:vAlign w:val="center"/>
            <w:hideMark/>
          </w:tcPr>
          <w:p w14:paraId="7F84C8A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90.8%</w:t>
            </w:r>
          </w:p>
        </w:tc>
        <w:tc>
          <w:tcPr>
            <w:tcW w:w="350" w:type="pct"/>
            <w:tcBorders>
              <w:top w:val="nil"/>
              <w:left w:val="nil"/>
              <w:bottom w:val="single" w:sz="4" w:space="0" w:color="auto"/>
              <w:right w:val="single" w:sz="4" w:space="0" w:color="auto"/>
            </w:tcBorders>
            <w:shd w:val="clear" w:color="auto" w:fill="auto"/>
            <w:noWrap/>
            <w:vAlign w:val="center"/>
            <w:hideMark/>
          </w:tcPr>
          <w:p w14:paraId="2412385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91.5%</w:t>
            </w:r>
          </w:p>
        </w:tc>
        <w:tc>
          <w:tcPr>
            <w:tcW w:w="350" w:type="pct"/>
            <w:tcBorders>
              <w:top w:val="nil"/>
              <w:left w:val="nil"/>
              <w:bottom w:val="single" w:sz="4" w:space="0" w:color="auto"/>
              <w:right w:val="single" w:sz="4" w:space="0" w:color="auto"/>
            </w:tcBorders>
            <w:shd w:val="clear" w:color="auto" w:fill="auto"/>
            <w:noWrap/>
            <w:vAlign w:val="center"/>
            <w:hideMark/>
          </w:tcPr>
          <w:p w14:paraId="6A07FF5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92.3%</w:t>
            </w:r>
          </w:p>
        </w:tc>
        <w:tc>
          <w:tcPr>
            <w:tcW w:w="350" w:type="pct"/>
            <w:tcBorders>
              <w:top w:val="nil"/>
              <w:left w:val="nil"/>
              <w:bottom w:val="single" w:sz="4" w:space="0" w:color="auto"/>
              <w:right w:val="single" w:sz="4" w:space="0" w:color="auto"/>
            </w:tcBorders>
            <w:shd w:val="clear" w:color="auto" w:fill="auto"/>
            <w:noWrap/>
            <w:vAlign w:val="center"/>
            <w:hideMark/>
          </w:tcPr>
          <w:p w14:paraId="4FDBFDCE"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45A4A712"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0.7%</w:t>
            </w:r>
          </w:p>
        </w:tc>
      </w:tr>
      <w:tr w:rsidR="00023591" w:rsidRPr="00060617" w14:paraId="39D7ED5C"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1454FED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Caucasian</w:t>
            </w:r>
          </w:p>
        </w:tc>
        <w:tc>
          <w:tcPr>
            <w:tcW w:w="350" w:type="pct"/>
            <w:tcBorders>
              <w:top w:val="nil"/>
              <w:left w:val="nil"/>
              <w:bottom w:val="single" w:sz="4" w:space="0" w:color="auto"/>
              <w:right w:val="single" w:sz="4" w:space="0" w:color="auto"/>
            </w:tcBorders>
            <w:shd w:val="clear" w:color="auto" w:fill="auto"/>
            <w:noWrap/>
            <w:vAlign w:val="center"/>
            <w:hideMark/>
          </w:tcPr>
          <w:p w14:paraId="1BC11A95"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84.5%</w:t>
            </w:r>
          </w:p>
        </w:tc>
        <w:tc>
          <w:tcPr>
            <w:tcW w:w="350" w:type="pct"/>
            <w:tcBorders>
              <w:top w:val="nil"/>
              <w:left w:val="nil"/>
              <w:bottom w:val="single" w:sz="4" w:space="0" w:color="auto"/>
              <w:right w:val="single" w:sz="4" w:space="0" w:color="auto"/>
            </w:tcBorders>
            <w:shd w:val="clear" w:color="auto" w:fill="auto"/>
            <w:noWrap/>
            <w:vAlign w:val="center"/>
            <w:hideMark/>
          </w:tcPr>
          <w:p w14:paraId="5A257A8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85.4%</w:t>
            </w:r>
          </w:p>
        </w:tc>
        <w:tc>
          <w:tcPr>
            <w:tcW w:w="350" w:type="pct"/>
            <w:tcBorders>
              <w:top w:val="nil"/>
              <w:left w:val="nil"/>
              <w:bottom w:val="single" w:sz="4" w:space="0" w:color="auto"/>
              <w:right w:val="single" w:sz="4" w:space="0" w:color="auto"/>
            </w:tcBorders>
            <w:shd w:val="clear" w:color="auto" w:fill="auto"/>
            <w:noWrap/>
            <w:vAlign w:val="center"/>
            <w:hideMark/>
          </w:tcPr>
          <w:p w14:paraId="6AD97F6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86.2%</w:t>
            </w:r>
          </w:p>
        </w:tc>
        <w:tc>
          <w:tcPr>
            <w:tcW w:w="350" w:type="pct"/>
            <w:tcBorders>
              <w:top w:val="nil"/>
              <w:left w:val="nil"/>
              <w:bottom w:val="single" w:sz="4" w:space="0" w:color="auto"/>
              <w:right w:val="single" w:sz="4" w:space="0" w:color="auto"/>
            </w:tcBorders>
            <w:shd w:val="clear" w:color="auto" w:fill="auto"/>
            <w:noWrap/>
            <w:vAlign w:val="center"/>
            <w:hideMark/>
          </w:tcPr>
          <w:p w14:paraId="34FA6D4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87.1%</w:t>
            </w:r>
          </w:p>
        </w:tc>
        <w:tc>
          <w:tcPr>
            <w:tcW w:w="350" w:type="pct"/>
            <w:tcBorders>
              <w:top w:val="nil"/>
              <w:left w:val="nil"/>
              <w:bottom w:val="single" w:sz="4" w:space="0" w:color="auto"/>
              <w:right w:val="single" w:sz="4" w:space="0" w:color="auto"/>
            </w:tcBorders>
            <w:shd w:val="clear" w:color="auto" w:fill="auto"/>
            <w:noWrap/>
            <w:vAlign w:val="center"/>
            <w:hideMark/>
          </w:tcPr>
          <w:p w14:paraId="063E762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87.9%</w:t>
            </w:r>
          </w:p>
        </w:tc>
        <w:tc>
          <w:tcPr>
            <w:tcW w:w="350" w:type="pct"/>
            <w:tcBorders>
              <w:top w:val="nil"/>
              <w:left w:val="nil"/>
              <w:bottom w:val="single" w:sz="4" w:space="0" w:color="auto"/>
              <w:right w:val="single" w:sz="4" w:space="0" w:color="auto"/>
            </w:tcBorders>
            <w:shd w:val="clear" w:color="auto" w:fill="auto"/>
            <w:noWrap/>
            <w:vAlign w:val="center"/>
            <w:hideMark/>
          </w:tcPr>
          <w:p w14:paraId="2546EB8B"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88.8%</w:t>
            </w:r>
          </w:p>
        </w:tc>
        <w:tc>
          <w:tcPr>
            <w:tcW w:w="350" w:type="pct"/>
            <w:tcBorders>
              <w:top w:val="nil"/>
              <w:left w:val="nil"/>
              <w:bottom w:val="single" w:sz="4" w:space="0" w:color="auto"/>
              <w:right w:val="single" w:sz="4" w:space="0" w:color="auto"/>
            </w:tcBorders>
            <w:shd w:val="clear" w:color="auto" w:fill="auto"/>
            <w:noWrap/>
            <w:vAlign w:val="center"/>
            <w:hideMark/>
          </w:tcPr>
          <w:p w14:paraId="2CC6EA4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89.6%</w:t>
            </w:r>
          </w:p>
        </w:tc>
        <w:tc>
          <w:tcPr>
            <w:tcW w:w="350" w:type="pct"/>
            <w:tcBorders>
              <w:top w:val="nil"/>
              <w:left w:val="nil"/>
              <w:bottom w:val="single" w:sz="4" w:space="0" w:color="auto"/>
              <w:right w:val="single" w:sz="4" w:space="0" w:color="auto"/>
            </w:tcBorders>
            <w:shd w:val="clear" w:color="auto" w:fill="auto"/>
            <w:noWrap/>
            <w:vAlign w:val="center"/>
            <w:hideMark/>
          </w:tcPr>
          <w:p w14:paraId="66162A7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90.5%</w:t>
            </w:r>
          </w:p>
        </w:tc>
        <w:tc>
          <w:tcPr>
            <w:tcW w:w="350" w:type="pct"/>
            <w:tcBorders>
              <w:top w:val="nil"/>
              <w:left w:val="nil"/>
              <w:bottom w:val="single" w:sz="4" w:space="0" w:color="auto"/>
              <w:right w:val="single" w:sz="4" w:space="0" w:color="auto"/>
            </w:tcBorders>
            <w:shd w:val="clear" w:color="auto" w:fill="auto"/>
            <w:noWrap/>
            <w:vAlign w:val="center"/>
            <w:hideMark/>
          </w:tcPr>
          <w:p w14:paraId="7B66EE9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91.3%</w:t>
            </w:r>
          </w:p>
        </w:tc>
        <w:tc>
          <w:tcPr>
            <w:tcW w:w="350" w:type="pct"/>
            <w:tcBorders>
              <w:top w:val="nil"/>
              <w:left w:val="nil"/>
              <w:bottom w:val="single" w:sz="4" w:space="0" w:color="auto"/>
              <w:right w:val="single" w:sz="4" w:space="0" w:color="auto"/>
            </w:tcBorders>
            <w:shd w:val="clear" w:color="auto" w:fill="auto"/>
            <w:noWrap/>
            <w:vAlign w:val="center"/>
            <w:hideMark/>
          </w:tcPr>
          <w:p w14:paraId="36DB0F6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92.2%</w:t>
            </w:r>
          </w:p>
        </w:tc>
        <w:tc>
          <w:tcPr>
            <w:tcW w:w="350" w:type="pct"/>
            <w:tcBorders>
              <w:top w:val="nil"/>
              <w:left w:val="nil"/>
              <w:bottom w:val="single" w:sz="4" w:space="0" w:color="auto"/>
              <w:right w:val="single" w:sz="4" w:space="0" w:color="auto"/>
            </w:tcBorders>
            <w:shd w:val="clear" w:color="auto" w:fill="auto"/>
            <w:noWrap/>
            <w:vAlign w:val="center"/>
            <w:hideMark/>
          </w:tcPr>
          <w:p w14:paraId="0CEA1339"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0AF02569"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0.8%</w:t>
            </w:r>
          </w:p>
        </w:tc>
      </w:tr>
      <w:tr w:rsidR="00023591" w:rsidRPr="00060617" w14:paraId="6D7311CF"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2BB9AF7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Hispanic</w:t>
            </w:r>
          </w:p>
        </w:tc>
        <w:tc>
          <w:tcPr>
            <w:tcW w:w="350" w:type="pct"/>
            <w:tcBorders>
              <w:top w:val="nil"/>
              <w:left w:val="nil"/>
              <w:bottom w:val="single" w:sz="4" w:space="0" w:color="auto"/>
              <w:right w:val="single" w:sz="4" w:space="0" w:color="auto"/>
            </w:tcBorders>
            <w:shd w:val="clear" w:color="auto" w:fill="auto"/>
            <w:noWrap/>
            <w:vAlign w:val="center"/>
            <w:hideMark/>
          </w:tcPr>
          <w:p w14:paraId="0D8C9E2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81.4%</w:t>
            </w:r>
          </w:p>
        </w:tc>
        <w:tc>
          <w:tcPr>
            <w:tcW w:w="350" w:type="pct"/>
            <w:tcBorders>
              <w:top w:val="nil"/>
              <w:left w:val="nil"/>
              <w:bottom w:val="single" w:sz="4" w:space="0" w:color="auto"/>
              <w:right w:val="single" w:sz="4" w:space="0" w:color="auto"/>
            </w:tcBorders>
            <w:shd w:val="clear" w:color="auto" w:fill="auto"/>
            <w:noWrap/>
            <w:vAlign w:val="center"/>
            <w:hideMark/>
          </w:tcPr>
          <w:p w14:paraId="669B192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82.6%</w:t>
            </w:r>
          </w:p>
        </w:tc>
        <w:tc>
          <w:tcPr>
            <w:tcW w:w="350" w:type="pct"/>
            <w:tcBorders>
              <w:top w:val="nil"/>
              <w:left w:val="nil"/>
              <w:bottom w:val="single" w:sz="4" w:space="0" w:color="auto"/>
              <w:right w:val="single" w:sz="4" w:space="0" w:color="auto"/>
            </w:tcBorders>
            <w:shd w:val="clear" w:color="auto" w:fill="auto"/>
            <w:noWrap/>
            <w:vAlign w:val="center"/>
            <w:hideMark/>
          </w:tcPr>
          <w:p w14:paraId="6721AE3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12261A4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84.9%</w:t>
            </w:r>
          </w:p>
        </w:tc>
        <w:tc>
          <w:tcPr>
            <w:tcW w:w="350" w:type="pct"/>
            <w:tcBorders>
              <w:top w:val="nil"/>
              <w:left w:val="nil"/>
              <w:bottom w:val="single" w:sz="4" w:space="0" w:color="auto"/>
              <w:right w:val="single" w:sz="4" w:space="0" w:color="auto"/>
            </w:tcBorders>
            <w:shd w:val="clear" w:color="auto" w:fill="auto"/>
            <w:noWrap/>
            <w:vAlign w:val="center"/>
            <w:hideMark/>
          </w:tcPr>
          <w:p w14:paraId="5ACBC20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86.1%</w:t>
            </w:r>
          </w:p>
        </w:tc>
        <w:tc>
          <w:tcPr>
            <w:tcW w:w="350" w:type="pct"/>
            <w:tcBorders>
              <w:top w:val="nil"/>
              <w:left w:val="nil"/>
              <w:bottom w:val="single" w:sz="4" w:space="0" w:color="auto"/>
              <w:right w:val="single" w:sz="4" w:space="0" w:color="auto"/>
            </w:tcBorders>
            <w:shd w:val="clear" w:color="auto" w:fill="auto"/>
            <w:noWrap/>
            <w:vAlign w:val="center"/>
            <w:hideMark/>
          </w:tcPr>
          <w:p w14:paraId="55DF806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87.2%</w:t>
            </w:r>
          </w:p>
        </w:tc>
        <w:tc>
          <w:tcPr>
            <w:tcW w:w="350" w:type="pct"/>
            <w:tcBorders>
              <w:top w:val="nil"/>
              <w:left w:val="nil"/>
              <w:bottom w:val="single" w:sz="4" w:space="0" w:color="auto"/>
              <w:right w:val="single" w:sz="4" w:space="0" w:color="auto"/>
            </w:tcBorders>
            <w:shd w:val="clear" w:color="auto" w:fill="auto"/>
            <w:noWrap/>
            <w:vAlign w:val="center"/>
            <w:hideMark/>
          </w:tcPr>
          <w:p w14:paraId="7A4CCA0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88.4%</w:t>
            </w:r>
          </w:p>
        </w:tc>
        <w:tc>
          <w:tcPr>
            <w:tcW w:w="350" w:type="pct"/>
            <w:tcBorders>
              <w:top w:val="nil"/>
              <w:left w:val="nil"/>
              <w:bottom w:val="single" w:sz="4" w:space="0" w:color="auto"/>
              <w:right w:val="single" w:sz="4" w:space="0" w:color="auto"/>
            </w:tcBorders>
            <w:shd w:val="clear" w:color="auto" w:fill="auto"/>
            <w:noWrap/>
            <w:vAlign w:val="center"/>
            <w:hideMark/>
          </w:tcPr>
          <w:p w14:paraId="6EF0332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89.5%</w:t>
            </w:r>
          </w:p>
        </w:tc>
        <w:tc>
          <w:tcPr>
            <w:tcW w:w="350" w:type="pct"/>
            <w:tcBorders>
              <w:top w:val="nil"/>
              <w:left w:val="nil"/>
              <w:bottom w:val="single" w:sz="4" w:space="0" w:color="auto"/>
              <w:right w:val="single" w:sz="4" w:space="0" w:color="auto"/>
            </w:tcBorders>
            <w:shd w:val="clear" w:color="auto" w:fill="auto"/>
            <w:noWrap/>
            <w:vAlign w:val="center"/>
            <w:hideMark/>
          </w:tcPr>
          <w:p w14:paraId="0FE6741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90.7%</w:t>
            </w:r>
          </w:p>
        </w:tc>
        <w:tc>
          <w:tcPr>
            <w:tcW w:w="350" w:type="pct"/>
            <w:tcBorders>
              <w:top w:val="nil"/>
              <w:left w:val="nil"/>
              <w:bottom w:val="single" w:sz="4" w:space="0" w:color="auto"/>
              <w:right w:val="single" w:sz="4" w:space="0" w:color="auto"/>
            </w:tcBorders>
            <w:shd w:val="clear" w:color="auto" w:fill="auto"/>
            <w:noWrap/>
            <w:vAlign w:val="center"/>
            <w:hideMark/>
          </w:tcPr>
          <w:p w14:paraId="1700A75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91.8%</w:t>
            </w:r>
          </w:p>
        </w:tc>
        <w:tc>
          <w:tcPr>
            <w:tcW w:w="350" w:type="pct"/>
            <w:tcBorders>
              <w:top w:val="nil"/>
              <w:left w:val="nil"/>
              <w:bottom w:val="single" w:sz="4" w:space="0" w:color="auto"/>
              <w:right w:val="single" w:sz="4" w:space="0" w:color="auto"/>
            </w:tcBorders>
            <w:shd w:val="clear" w:color="auto" w:fill="auto"/>
            <w:noWrap/>
            <w:vAlign w:val="center"/>
            <w:hideMark/>
          </w:tcPr>
          <w:p w14:paraId="0F20A0A8"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71BFFDA8"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1.2%</w:t>
            </w:r>
          </w:p>
        </w:tc>
      </w:tr>
      <w:tr w:rsidR="00023591" w:rsidRPr="00060617" w14:paraId="6FE94DCB"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727F351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Two or More Races</w:t>
            </w:r>
          </w:p>
        </w:tc>
        <w:tc>
          <w:tcPr>
            <w:tcW w:w="350" w:type="pct"/>
            <w:tcBorders>
              <w:top w:val="nil"/>
              <w:left w:val="nil"/>
              <w:bottom w:val="single" w:sz="4" w:space="0" w:color="auto"/>
              <w:right w:val="single" w:sz="4" w:space="0" w:color="auto"/>
            </w:tcBorders>
            <w:shd w:val="clear" w:color="auto" w:fill="auto"/>
            <w:noWrap/>
            <w:vAlign w:val="center"/>
            <w:hideMark/>
          </w:tcPr>
          <w:p w14:paraId="1524E683"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80.7%</w:t>
            </w:r>
          </w:p>
        </w:tc>
        <w:tc>
          <w:tcPr>
            <w:tcW w:w="350" w:type="pct"/>
            <w:tcBorders>
              <w:top w:val="nil"/>
              <w:left w:val="nil"/>
              <w:bottom w:val="single" w:sz="4" w:space="0" w:color="auto"/>
              <w:right w:val="single" w:sz="4" w:space="0" w:color="auto"/>
            </w:tcBorders>
            <w:shd w:val="clear" w:color="auto" w:fill="auto"/>
            <w:noWrap/>
            <w:vAlign w:val="center"/>
            <w:hideMark/>
          </w:tcPr>
          <w:p w14:paraId="43ABEEC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81.9%</w:t>
            </w:r>
          </w:p>
        </w:tc>
        <w:tc>
          <w:tcPr>
            <w:tcW w:w="350" w:type="pct"/>
            <w:tcBorders>
              <w:top w:val="nil"/>
              <w:left w:val="nil"/>
              <w:bottom w:val="single" w:sz="4" w:space="0" w:color="auto"/>
              <w:right w:val="single" w:sz="4" w:space="0" w:color="auto"/>
            </w:tcBorders>
            <w:shd w:val="clear" w:color="auto" w:fill="auto"/>
            <w:noWrap/>
            <w:vAlign w:val="center"/>
            <w:hideMark/>
          </w:tcPr>
          <w:p w14:paraId="35F340A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83.2%</w:t>
            </w:r>
          </w:p>
        </w:tc>
        <w:tc>
          <w:tcPr>
            <w:tcW w:w="350" w:type="pct"/>
            <w:tcBorders>
              <w:top w:val="nil"/>
              <w:left w:val="nil"/>
              <w:bottom w:val="single" w:sz="4" w:space="0" w:color="auto"/>
              <w:right w:val="single" w:sz="4" w:space="0" w:color="auto"/>
            </w:tcBorders>
            <w:shd w:val="clear" w:color="auto" w:fill="auto"/>
            <w:noWrap/>
            <w:vAlign w:val="center"/>
            <w:hideMark/>
          </w:tcPr>
          <w:p w14:paraId="5004E92A"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84.4%</w:t>
            </w:r>
          </w:p>
        </w:tc>
        <w:tc>
          <w:tcPr>
            <w:tcW w:w="350" w:type="pct"/>
            <w:tcBorders>
              <w:top w:val="nil"/>
              <w:left w:val="nil"/>
              <w:bottom w:val="single" w:sz="4" w:space="0" w:color="auto"/>
              <w:right w:val="single" w:sz="4" w:space="0" w:color="auto"/>
            </w:tcBorders>
            <w:shd w:val="clear" w:color="auto" w:fill="auto"/>
            <w:noWrap/>
            <w:vAlign w:val="center"/>
            <w:hideMark/>
          </w:tcPr>
          <w:p w14:paraId="6771D29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85.6%</w:t>
            </w:r>
          </w:p>
        </w:tc>
        <w:tc>
          <w:tcPr>
            <w:tcW w:w="350" w:type="pct"/>
            <w:tcBorders>
              <w:top w:val="nil"/>
              <w:left w:val="nil"/>
              <w:bottom w:val="single" w:sz="4" w:space="0" w:color="auto"/>
              <w:right w:val="single" w:sz="4" w:space="0" w:color="auto"/>
            </w:tcBorders>
            <w:shd w:val="clear" w:color="auto" w:fill="auto"/>
            <w:noWrap/>
            <w:vAlign w:val="center"/>
            <w:hideMark/>
          </w:tcPr>
          <w:p w14:paraId="14A7C42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86.8%</w:t>
            </w:r>
          </w:p>
        </w:tc>
        <w:tc>
          <w:tcPr>
            <w:tcW w:w="350" w:type="pct"/>
            <w:tcBorders>
              <w:top w:val="nil"/>
              <w:left w:val="nil"/>
              <w:bottom w:val="single" w:sz="4" w:space="0" w:color="auto"/>
              <w:right w:val="single" w:sz="4" w:space="0" w:color="auto"/>
            </w:tcBorders>
            <w:shd w:val="clear" w:color="auto" w:fill="auto"/>
            <w:noWrap/>
            <w:vAlign w:val="center"/>
            <w:hideMark/>
          </w:tcPr>
          <w:p w14:paraId="031C6D2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88.1%</w:t>
            </w:r>
          </w:p>
        </w:tc>
        <w:tc>
          <w:tcPr>
            <w:tcW w:w="350" w:type="pct"/>
            <w:tcBorders>
              <w:top w:val="nil"/>
              <w:left w:val="nil"/>
              <w:bottom w:val="single" w:sz="4" w:space="0" w:color="auto"/>
              <w:right w:val="single" w:sz="4" w:space="0" w:color="auto"/>
            </w:tcBorders>
            <w:shd w:val="clear" w:color="auto" w:fill="auto"/>
            <w:noWrap/>
            <w:vAlign w:val="center"/>
            <w:hideMark/>
          </w:tcPr>
          <w:p w14:paraId="74941D0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89.3%</w:t>
            </w:r>
          </w:p>
        </w:tc>
        <w:tc>
          <w:tcPr>
            <w:tcW w:w="350" w:type="pct"/>
            <w:tcBorders>
              <w:top w:val="nil"/>
              <w:left w:val="nil"/>
              <w:bottom w:val="single" w:sz="4" w:space="0" w:color="auto"/>
              <w:right w:val="single" w:sz="4" w:space="0" w:color="auto"/>
            </w:tcBorders>
            <w:shd w:val="clear" w:color="auto" w:fill="auto"/>
            <w:noWrap/>
            <w:vAlign w:val="center"/>
            <w:hideMark/>
          </w:tcPr>
          <w:p w14:paraId="71296CCE"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90.5%</w:t>
            </w:r>
          </w:p>
        </w:tc>
        <w:tc>
          <w:tcPr>
            <w:tcW w:w="350" w:type="pct"/>
            <w:tcBorders>
              <w:top w:val="nil"/>
              <w:left w:val="nil"/>
              <w:bottom w:val="single" w:sz="4" w:space="0" w:color="auto"/>
              <w:right w:val="single" w:sz="4" w:space="0" w:color="auto"/>
            </w:tcBorders>
            <w:shd w:val="clear" w:color="auto" w:fill="auto"/>
            <w:noWrap/>
            <w:vAlign w:val="center"/>
            <w:hideMark/>
          </w:tcPr>
          <w:p w14:paraId="5D4009A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91.8%</w:t>
            </w:r>
          </w:p>
        </w:tc>
        <w:tc>
          <w:tcPr>
            <w:tcW w:w="350" w:type="pct"/>
            <w:tcBorders>
              <w:top w:val="nil"/>
              <w:left w:val="nil"/>
              <w:bottom w:val="single" w:sz="4" w:space="0" w:color="auto"/>
              <w:right w:val="single" w:sz="4" w:space="0" w:color="auto"/>
            </w:tcBorders>
            <w:shd w:val="clear" w:color="auto" w:fill="auto"/>
            <w:noWrap/>
            <w:vAlign w:val="center"/>
            <w:hideMark/>
          </w:tcPr>
          <w:p w14:paraId="7CBF3E6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4FC912F6"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1.2%</w:t>
            </w:r>
          </w:p>
        </w:tc>
      </w:tr>
      <w:tr w:rsidR="00023591" w:rsidRPr="00060617" w14:paraId="7EBC32B0"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645A4A3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Students with Disabilities</w:t>
            </w:r>
          </w:p>
        </w:tc>
        <w:tc>
          <w:tcPr>
            <w:tcW w:w="350" w:type="pct"/>
            <w:tcBorders>
              <w:top w:val="nil"/>
              <w:left w:val="nil"/>
              <w:bottom w:val="single" w:sz="4" w:space="0" w:color="auto"/>
              <w:right w:val="single" w:sz="4" w:space="0" w:color="auto"/>
            </w:tcBorders>
            <w:shd w:val="clear" w:color="auto" w:fill="auto"/>
            <w:noWrap/>
            <w:vAlign w:val="center"/>
            <w:hideMark/>
          </w:tcPr>
          <w:p w14:paraId="76DD5E44"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64.6%</w:t>
            </w:r>
          </w:p>
        </w:tc>
        <w:tc>
          <w:tcPr>
            <w:tcW w:w="350" w:type="pct"/>
            <w:tcBorders>
              <w:top w:val="nil"/>
              <w:left w:val="nil"/>
              <w:bottom w:val="single" w:sz="4" w:space="0" w:color="auto"/>
              <w:right w:val="single" w:sz="4" w:space="0" w:color="auto"/>
            </w:tcBorders>
            <w:shd w:val="clear" w:color="auto" w:fill="auto"/>
            <w:noWrap/>
            <w:vAlign w:val="center"/>
            <w:hideMark/>
          </w:tcPr>
          <w:p w14:paraId="25764B7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67.4%</w:t>
            </w:r>
          </w:p>
        </w:tc>
        <w:tc>
          <w:tcPr>
            <w:tcW w:w="350" w:type="pct"/>
            <w:tcBorders>
              <w:top w:val="nil"/>
              <w:left w:val="nil"/>
              <w:bottom w:val="single" w:sz="4" w:space="0" w:color="auto"/>
              <w:right w:val="single" w:sz="4" w:space="0" w:color="auto"/>
            </w:tcBorders>
            <w:shd w:val="clear" w:color="auto" w:fill="auto"/>
            <w:noWrap/>
            <w:vAlign w:val="center"/>
            <w:hideMark/>
          </w:tcPr>
          <w:p w14:paraId="463907E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70.2%</w:t>
            </w:r>
          </w:p>
        </w:tc>
        <w:tc>
          <w:tcPr>
            <w:tcW w:w="350" w:type="pct"/>
            <w:tcBorders>
              <w:top w:val="nil"/>
              <w:left w:val="nil"/>
              <w:bottom w:val="single" w:sz="4" w:space="0" w:color="auto"/>
              <w:right w:val="single" w:sz="4" w:space="0" w:color="auto"/>
            </w:tcBorders>
            <w:shd w:val="clear" w:color="auto" w:fill="auto"/>
            <w:noWrap/>
            <w:vAlign w:val="center"/>
            <w:hideMark/>
          </w:tcPr>
          <w:p w14:paraId="14F0878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73.1%</w:t>
            </w:r>
          </w:p>
        </w:tc>
        <w:tc>
          <w:tcPr>
            <w:tcW w:w="350" w:type="pct"/>
            <w:tcBorders>
              <w:top w:val="nil"/>
              <w:left w:val="nil"/>
              <w:bottom w:val="single" w:sz="4" w:space="0" w:color="auto"/>
              <w:right w:val="single" w:sz="4" w:space="0" w:color="auto"/>
            </w:tcBorders>
            <w:shd w:val="clear" w:color="auto" w:fill="auto"/>
            <w:noWrap/>
            <w:vAlign w:val="center"/>
            <w:hideMark/>
          </w:tcPr>
          <w:p w14:paraId="6A8B12E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75.9%</w:t>
            </w:r>
          </w:p>
        </w:tc>
        <w:tc>
          <w:tcPr>
            <w:tcW w:w="350" w:type="pct"/>
            <w:tcBorders>
              <w:top w:val="nil"/>
              <w:left w:val="nil"/>
              <w:bottom w:val="single" w:sz="4" w:space="0" w:color="auto"/>
              <w:right w:val="single" w:sz="4" w:space="0" w:color="auto"/>
            </w:tcBorders>
            <w:shd w:val="clear" w:color="auto" w:fill="auto"/>
            <w:noWrap/>
            <w:vAlign w:val="center"/>
            <w:hideMark/>
          </w:tcPr>
          <w:p w14:paraId="7460830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78.8%</w:t>
            </w:r>
          </w:p>
        </w:tc>
        <w:tc>
          <w:tcPr>
            <w:tcW w:w="350" w:type="pct"/>
            <w:tcBorders>
              <w:top w:val="nil"/>
              <w:left w:val="nil"/>
              <w:bottom w:val="single" w:sz="4" w:space="0" w:color="auto"/>
              <w:right w:val="single" w:sz="4" w:space="0" w:color="auto"/>
            </w:tcBorders>
            <w:shd w:val="clear" w:color="auto" w:fill="auto"/>
            <w:noWrap/>
            <w:vAlign w:val="center"/>
            <w:hideMark/>
          </w:tcPr>
          <w:p w14:paraId="35907BD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81.6%</w:t>
            </w:r>
          </w:p>
        </w:tc>
        <w:tc>
          <w:tcPr>
            <w:tcW w:w="350" w:type="pct"/>
            <w:tcBorders>
              <w:top w:val="nil"/>
              <w:left w:val="nil"/>
              <w:bottom w:val="single" w:sz="4" w:space="0" w:color="auto"/>
              <w:right w:val="single" w:sz="4" w:space="0" w:color="auto"/>
            </w:tcBorders>
            <w:shd w:val="clear" w:color="auto" w:fill="auto"/>
            <w:noWrap/>
            <w:vAlign w:val="center"/>
            <w:hideMark/>
          </w:tcPr>
          <w:p w14:paraId="02EBB32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84.5%</w:t>
            </w:r>
          </w:p>
        </w:tc>
        <w:tc>
          <w:tcPr>
            <w:tcW w:w="350" w:type="pct"/>
            <w:tcBorders>
              <w:top w:val="nil"/>
              <w:left w:val="nil"/>
              <w:bottom w:val="single" w:sz="4" w:space="0" w:color="auto"/>
              <w:right w:val="single" w:sz="4" w:space="0" w:color="auto"/>
            </w:tcBorders>
            <w:shd w:val="clear" w:color="auto" w:fill="auto"/>
            <w:noWrap/>
            <w:vAlign w:val="center"/>
            <w:hideMark/>
          </w:tcPr>
          <w:p w14:paraId="2744ED6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87.3%</w:t>
            </w:r>
          </w:p>
        </w:tc>
        <w:tc>
          <w:tcPr>
            <w:tcW w:w="350" w:type="pct"/>
            <w:tcBorders>
              <w:top w:val="nil"/>
              <w:left w:val="nil"/>
              <w:bottom w:val="single" w:sz="4" w:space="0" w:color="auto"/>
              <w:right w:val="single" w:sz="4" w:space="0" w:color="auto"/>
            </w:tcBorders>
            <w:shd w:val="clear" w:color="auto" w:fill="auto"/>
            <w:noWrap/>
            <w:vAlign w:val="center"/>
            <w:hideMark/>
          </w:tcPr>
          <w:p w14:paraId="1A539901"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90.2%</w:t>
            </w:r>
          </w:p>
        </w:tc>
        <w:tc>
          <w:tcPr>
            <w:tcW w:w="350" w:type="pct"/>
            <w:tcBorders>
              <w:top w:val="nil"/>
              <w:left w:val="nil"/>
              <w:bottom w:val="single" w:sz="4" w:space="0" w:color="auto"/>
              <w:right w:val="single" w:sz="4" w:space="0" w:color="auto"/>
            </w:tcBorders>
            <w:shd w:val="clear" w:color="auto" w:fill="auto"/>
            <w:noWrap/>
            <w:vAlign w:val="center"/>
            <w:hideMark/>
          </w:tcPr>
          <w:p w14:paraId="14218206"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6485DEAB"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2.8%</w:t>
            </w:r>
          </w:p>
        </w:tc>
      </w:tr>
      <w:tr w:rsidR="00023591" w:rsidRPr="00060617" w14:paraId="658B8D8B"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14F191B6"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English Learners</w:t>
            </w:r>
          </w:p>
        </w:tc>
        <w:tc>
          <w:tcPr>
            <w:tcW w:w="350" w:type="pct"/>
            <w:tcBorders>
              <w:top w:val="nil"/>
              <w:left w:val="nil"/>
              <w:bottom w:val="single" w:sz="4" w:space="0" w:color="auto"/>
              <w:right w:val="single" w:sz="4" w:space="0" w:color="auto"/>
            </w:tcBorders>
            <w:shd w:val="clear" w:color="auto" w:fill="auto"/>
            <w:noWrap/>
            <w:vAlign w:val="center"/>
            <w:hideMark/>
          </w:tcPr>
          <w:p w14:paraId="126FABB1"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65.5%</w:t>
            </w:r>
          </w:p>
        </w:tc>
        <w:tc>
          <w:tcPr>
            <w:tcW w:w="350" w:type="pct"/>
            <w:tcBorders>
              <w:top w:val="nil"/>
              <w:left w:val="nil"/>
              <w:bottom w:val="single" w:sz="4" w:space="0" w:color="auto"/>
              <w:right w:val="single" w:sz="4" w:space="0" w:color="auto"/>
            </w:tcBorders>
            <w:shd w:val="clear" w:color="auto" w:fill="auto"/>
            <w:noWrap/>
            <w:vAlign w:val="center"/>
            <w:hideMark/>
          </w:tcPr>
          <w:p w14:paraId="611A5E1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68.2%</w:t>
            </w:r>
          </w:p>
        </w:tc>
        <w:tc>
          <w:tcPr>
            <w:tcW w:w="350" w:type="pct"/>
            <w:tcBorders>
              <w:top w:val="nil"/>
              <w:left w:val="nil"/>
              <w:bottom w:val="single" w:sz="4" w:space="0" w:color="auto"/>
              <w:right w:val="single" w:sz="4" w:space="0" w:color="auto"/>
            </w:tcBorders>
            <w:shd w:val="clear" w:color="auto" w:fill="auto"/>
            <w:noWrap/>
            <w:vAlign w:val="center"/>
            <w:hideMark/>
          </w:tcPr>
          <w:p w14:paraId="4B98B2C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71.0%</w:t>
            </w:r>
          </w:p>
        </w:tc>
        <w:tc>
          <w:tcPr>
            <w:tcW w:w="350" w:type="pct"/>
            <w:tcBorders>
              <w:top w:val="nil"/>
              <w:left w:val="nil"/>
              <w:bottom w:val="single" w:sz="4" w:space="0" w:color="auto"/>
              <w:right w:val="single" w:sz="4" w:space="0" w:color="auto"/>
            </w:tcBorders>
            <w:shd w:val="clear" w:color="auto" w:fill="auto"/>
            <w:noWrap/>
            <w:vAlign w:val="center"/>
            <w:hideMark/>
          </w:tcPr>
          <w:p w14:paraId="3C0F8A5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73.7%</w:t>
            </w:r>
          </w:p>
        </w:tc>
        <w:tc>
          <w:tcPr>
            <w:tcW w:w="350" w:type="pct"/>
            <w:tcBorders>
              <w:top w:val="nil"/>
              <w:left w:val="nil"/>
              <w:bottom w:val="single" w:sz="4" w:space="0" w:color="auto"/>
              <w:right w:val="single" w:sz="4" w:space="0" w:color="auto"/>
            </w:tcBorders>
            <w:shd w:val="clear" w:color="auto" w:fill="auto"/>
            <w:noWrap/>
            <w:vAlign w:val="center"/>
            <w:hideMark/>
          </w:tcPr>
          <w:p w14:paraId="3B3BADE2"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76.5%</w:t>
            </w:r>
          </w:p>
        </w:tc>
        <w:tc>
          <w:tcPr>
            <w:tcW w:w="350" w:type="pct"/>
            <w:tcBorders>
              <w:top w:val="nil"/>
              <w:left w:val="nil"/>
              <w:bottom w:val="single" w:sz="4" w:space="0" w:color="auto"/>
              <w:right w:val="single" w:sz="4" w:space="0" w:color="auto"/>
            </w:tcBorders>
            <w:shd w:val="clear" w:color="auto" w:fill="auto"/>
            <w:noWrap/>
            <w:vAlign w:val="center"/>
            <w:hideMark/>
          </w:tcPr>
          <w:p w14:paraId="7B8A955C"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79.2%</w:t>
            </w:r>
          </w:p>
        </w:tc>
        <w:tc>
          <w:tcPr>
            <w:tcW w:w="350" w:type="pct"/>
            <w:tcBorders>
              <w:top w:val="nil"/>
              <w:left w:val="nil"/>
              <w:bottom w:val="single" w:sz="4" w:space="0" w:color="auto"/>
              <w:right w:val="single" w:sz="4" w:space="0" w:color="auto"/>
            </w:tcBorders>
            <w:shd w:val="clear" w:color="auto" w:fill="auto"/>
            <w:noWrap/>
            <w:vAlign w:val="center"/>
            <w:hideMark/>
          </w:tcPr>
          <w:p w14:paraId="0E90D79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82.0%</w:t>
            </w:r>
          </w:p>
        </w:tc>
        <w:tc>
          <w:tcPr>
            <w:tcW w:w="350" w:type="pct"/>
            <w:tcBorders>
              <w:top w:val="nil"/>
              <w:left w:val="nil"/>
              <w:bottom w:val="single" w:sz="4" w:space="0" w:color="auto"/>
              <w:right w:val="single" w:sz="4" w:space="0" w:color="auto"/>
            </w:tcBorders>
            <w:shd w:val="clear" w:color="auto" w:fill="auto"/>
            <w:noWrap/>
            <w:vAlign w:val="center"/>
            <w:hideMark/>
          </w:tcPr>
          <w:p w14:paraId="65ABAEB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84.7%</w:t>
            </w:r>
          </w:p>
        </w:tc>
        <w:tc>
          <w:tcPr>
            <w:tcW w:w="350" w:type="pct"/>
            <w:tcBorders>
              <w:top w:val="nil"/>
              <w:left w:val="nil"/>
              <w:bottom w:val="single" w:sz="4" w:space="0" w:color="auto"/>
              <w:right w:val="single" w:sz="4" w:space="0" w:color="auto"/>
            </w:tcBorders>
            <w:shd w:val="clear" w:color="auto" w:fill="auto"/>
            <w:noWrap/>
            <w:vAlign w:val="center"/>
            <w:hideMark/>
          </w:tcPr>
          <w:p w14:paraId="065AB42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87.5%</w:t>
            </w:r>
          </w:p>
        </w:tc>
        <w:tc>
          <w:tcPr>
            <w:tcW w:w="350" w:type="pct"/>
            <w:tcBorders>
              <w:top w:val="nil"/>
              <w:left w:val="nil"/>
              <w:bottom w:val="single" w:sz="4" w:space="0" w:color="auto"/>
              <w:right w:val="single" w:sz="4" w:space="0" w:color="auto"/>
            </w:tcBorders>
            <w:shd w:val="clear" w:color="auto" w:fill="auto"/>
            <w:noWrap/>
            <w:vAlign w:val="center"/>
            <w:hideMark/>
          </w:tcPr>
          <w:p w14:paraId="60BDA71D"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90.2%</w:t>
            </w:r>
          </w:p>
        </w:tc>
        <w:tc>
          <w:tcPr>
            <w:tcW w:w="350" w:type="pct"/>
            <w:tcBorders>
              <w:top w:val="nil"/>
              <w:left w:val="nil"/>
              <w:bottom w:val="single" w:sz="4" w:space="0" w:color="auto"/>
              <w:right w:val="single" w:sz="4" w:space="0" w:color="auto"/>
            </w:tcBorders>
            <w:shd w:val="clear" w:color="auto" w:fill="auto"/>
            <w:noWrap/>
            <w:vAlign w:val="center"/>
            <w:hideMark/>
          </w:tcPr>
          <w:p w14:paraId="66C0DBCC"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0FBD2044"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2.8%</w:t>
            </w:r>
          </w:p>
        </w:tc>
      </w:tr>
      <w:tr w:rsidR="00023591" w:rsidRPr="00060617" w14:paraId="6FFF49D5" w14:textId="77777777" w:rsidTr="003556DD">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35C1FA3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Economically Disadvantaged</w:t>
            </w:r>
          </w:p>
        </w:tc>
        <w:tc>
          <w:tcPr>
            <w:tcW w:w="350" w:type="pct"/>
            <w:tcBorders>
              <w:top w:val="nil"/>
              <w:left w:val="nil"/>
              <w:bottom w:val="single" w:sz="4" w:space="0" w:color="auto"/>
              <w:right w:val="single" w:sz="4" w:space="0" w:color="auto"/>
            </w:tcBorders>
            <w:shd w:val="clear" w:color="auto" w:fill="auto"/>
            <w:noWrap/>
            <w:vAlign w:val="center"/>
            <w:hideMark/>
          </w:tcPr>
          <w:p w14:paraId="6DA8FF52"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77.4%</w:t>
            </w:r>
          </w:p>
        </w:tc>
        <w:tc>
          <w:tcPr>
            <w:tcW w:w="350" w:type="pct"/>
            <w:tcBorders>
              <w:top w:val="nil"/>
              <w:left w:val="nil"/>
              <w:bottom w:val="single" w:sz="4" w:space="0" w:color="auto"/>
              <w:right w:val="single" w:sz="4" w:space="0" w:color="auto"/>
            </w:tcBorders>
            <w:shd w:val="clear" w:color="auto" w:fill="auto"/>
            <w:noWrap/>
            <w:vAlign w:val="center"/>
            <w:hideMark/>
          </w:tcPr>
          <w:p w14:paraId="0757E9D9"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79.0%</w:t>
            </w:r>
          </w:p>
        </w:tc>
        <w:tc>
          <w:tcPr>
            <w:tcW w:w="350" w:type="pct"/>
            <w:tcBorders>
              <w:top w:val="nil"/>
              <w:left w:val="nil"/>
              <w:bottom w:val="single" w:sz="4" w:space="0" w:color="auto"/>
              <w:right w:val="single" w:sz="4" w:space="0" w:color="auto"/>
            </w:tcBorders>
            <w:shd w:val="clear" w:color="auto" w:fill="auto"/>
            <w:noWrap/>
            <w:vAlign w:val="center"/>
            <w:hideMark/>
          </w:tcPr>
          <w:p w14:paraId="52B2E37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80.6%</w:t>
            </w:r>
          </w:p>
        </w:tc>
        <w:tc>
          <w:tcPr>
            <w:tcW w:w="350" w:type="pct"/>
            <w:tcBorders>
              <w:top w:val="nil"/>
              <w:left w:val="nil"/>
              <w:bottom w:val="single" w:sz="4" w:space="0" w:color="auto"/>
              <w:right w:val="single" w:sz="4" w:space="0" w:color="auto"/>
            </w:tcBorders>
            <w:shd w:val="clear" w:color="auto" w:fill="auto"/>
            <w:noWrap/>
            <w:vAlign w:val="center"/>
            <w:hideMark/>
          </w:tcPr>
          <w:p w14:paraId="33CCA6C4"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82.1%</w:t>
            </w:r>
          </w:p>
        </w:tc>
        <w:tc>
          <w:tcPr>
            <w:tcW w:w="350" w:type="pct"/>
            <w:tcBorders>
              <w:top w:val="nil"/>
              <w:left w:val="nil"/>
              <w:bottom w:val="single" w:sz="4" w:space="0" w:color="auto"/>
              <w:right w:val="single" w:sz="4" w:space="0" w:color="auto"/>
            </w:tcBorders>
            <w:shd w:val="clear" w:color="auto" w:fill="auto"/>
            <w:noWrap/>
            <w:vAlign w:val="center"/>
            <w:hideMark/>
          </w:tcPr>
          <w:p w14:paraId="4D268DEF"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83.7%</w:t>
            </w:r>
          </w:p>
        </w:tc>
        <w:tc>
          <w:tcPr>
            <w:tcW w:w="350" w:type="pct"/>
            <w:tcBorders>
              <w:top w:val="nil"/>
              <w:left w:val="nil"/>
              <w:bottom w:val="single" w:sz="4" w:space="0" w:color="auto"/>
              <w:right w:val="single" w:sz="4" w:space="0" w:color="auto"/>
            </w:tcBorders>
            <w:shd w:val="clear" w:color="auto" w:fill="auto"/>
            <w:noWrap/>
            <w:vAlign w:val="center"/>
            <w:hideMark/>
          </w:tcPr>
          <w:p w14:paraId="5B1FF6C5"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85.2%</w:t>
            </w:r>
          </w:p>
        </w:tc>
        <w:tc>
          <w:tcPr>
            <w:tcW w:w="350" w:type="pct"/>
            <w:tcBorders>
              <w:top w:val="nil"/>
              <w:left w:val="nil"/>
              <w:bottom w:val="single" w:sz="4" w:space="0" w:color="auto"/>
              <w:right w:val="single" w:sz="4" w:space="0" w:color="auto"/>
            </w:tcBorders>
            <w:shd w:val="clear" w:color="auto" w:fill="auto"/>
            <w:noWrap/>
            <w:vAlign w:val="center"/>
            <w:hideMark/>
          </w:tcPr>
          <w:p w14:paraId="744AC173"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86.8%</w:t>
            </w:r>
          </w:p>
        </w:tc>
        <w:tc>
          <w:tcPr>
            <w:tcW w:w="350" w:type="pct"/>
            <w:tcBorders>
              <w:top w:val="nil"/>
              <w:left w:val="nil"/>
              <w:bottom w:val="single" w:sz="4" w:space="0" w:color="auto"/>
              <w:right w:val="single" w:sz="4" w:space="0" w:color="auto"/>
            </w:tcBorders>
            <w:shd w:val="clear" w:color="auto" w:fill="auto"/>
            <w:noWrap/>
            <w:vAlign w:val="center"/>
            <w:hideMark/>
          </w:tcPr>
          <w:p w14:paraId="72EC4977"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88.3%</w:t>
            </w:r>
          </w:p>
        </w:tc>
        <w:tc>
          <w:tcPr>
            <w:tcW w:w="350" w:type="pct"/>
            <w:tcBorders>
              <w:top w:val="nil"/>
              <w:left w:val="nil"/>
              <w:bottom w:val="single" w:sz="4" w:space="0" w:color="auto"/>
              <w:right w:val="single" w:sz="4" w:space="0" w:color="auto"/>
            </w:tcBorders>
            <w:shd w:val="clear" w:color="auto" w:fill="auto"/>
            <w:noWrap/>
            <w:vAlign w:val="center"/>
            <w:hideMark/>
          </w:tcPr>
          <w:p w14:paraId="6DCB61A0"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89.9%</w:t>
            </w:r>
          </w:p>
        </w:tc>
        <w:tc>
          <w:tcPr>
            <w:tcW w:w="350" w:type="pct"/>
            <w:tcBorders>
              <w:top w:val="nil"/>
              <w:left w:val="nil"/>
              <w:bottom w:val="single" w:sz="4" w:space="0" w:color="auto"/>
              <w:right w:val="single" w:sz="4" w:space="0" w:color="auto"/>
            </w:tcBorders>
            <w:shd w:val="clear" w:color="auto" w:fill="auto"/>
            <w:noWrap/>
            <w:vAlign w:val="center"/>
            <w:hideMark/>
          </w:tcPr>
          <w:p w14:paraId="2E6D19A8" w14:textId="77777777" w:rsidR="00023591" w:rsidRPr="005E58F6" w:rsidRDefault="00023591" w:rsidP="003556DD">
            <w:pPr>
              <w:spacing w:after="0" w:line="240" w:lineRule="auto"/>
              <w:jc w:val="center"/>
              <w:rPr>
                <w:rFonts w:ascii="Calibri" w:eastAsia="Times New Roman" w:hAnsi="Calibri" w:cs="Times New Roman"/>
                <w:color w:val="000000"/>
                <w:sz w:val="14"/>
              </w:rPr>
            </w:pPr>
            <w:r w:rsidRPr="005E58F6">
              <w:rPr>
                <w:rFonts w:ascii="Calibri" w:eastAsia="Times New Roman" w:hAnsi="Calibri" w:cs="Times New Roman"/>
                <w:color w:val="000000"/>
                <w:sz w:val="14"/>
              </w:rPr>
              <w:t>91.4%</w:t>
            </w:r>
          </w:p>
        </w:tc>
        <w:tc>
          <w:tcPr>
            <w:tcW w:w="350" w:type="pct"/>
            <w:tcBorders>
              <w:top w:val="nil"/>
              <w:left w:val="nil"/>
              <w:bottom w:val="single" w:sz="4" w:space="0" w:color="auto"/>
              <w:right w:val="single" w:sz="4" w:space="0" w:color="auto"/>
            </w:tcBorders>
            <w:shd w:val="clear" w:color="auto" w:fill="auto"/>
            <w:noWrap/>
            <w:vAlign w:val="center"/>
            <w:hideMark/>
          </w:tcPr>
          <w:p w14:paraId="2A7E167A" w14:textId="77777777" w:rsidR="00023591" w:rsidRPr="005E58F6" w:rsidRDefault="00023591" w:rsidP="003556DD">
            <w:pPr>
              <w:spacing w:after="0" w:line="240" w:lineRule="auto"/>
              <w:jc w:val="center"/>
              <w:rPr>
                <w:rFonts w:ascii="Calibri" w:eastAsia="Times New Roman" w:hAnsi="Calibri" w:cs="Times New Roman"/>
                <w:b/>
                <w:color w:val="000000"/>
                <w:sz w:val="14"/>
              </w:rPr>
            </w:pPr>
            <w:r w:rsidRPr="005E58F6">
              <w:rPr>
                <w:rFonts w:ascii="Calibri" w:eastAsia="Times New Roman" w:hAnsi="Calibri" w:cs="Times New Roman"/>
                <w:b/>
                <w:color w:val="000000"/>
                <w:sz w:val="14"/>
              </w:rPr>
              <w:t>93.0%</w:t>
            </w:r>
          </w:p>
        </w:tc>
        <w:tc>
          <w:tcPr>
            <w:tcW w:w="350" w:type="pct"/>
            <w:tcBorders>
              <w:top w:val="nil"/>
              <w:left w:val="nil"/>
              <w:bottom w:val="single" w:sz="4" w:space="0" w:color="auto"/>
              <w:right w:val="single" w:sz="4" w:space="0" w:color="auto"/>
            </w:tcBorders>
            <w:shd w:val="clear" w:color="auto" w:fill="auto"/>
            <w:noWrap/>
            <w:vAlign w:val="center"/>
            <w:hideMark/>
          </w:tcPr>
          <w:p w14:paraId="423114FF" w14:textId="77777777" w:rsidR="00023591" w:rsidRPr="005E58F6" w:rsidRDefault="00023591" w:rsidP="003556DD">
            <w:pPr>
              <w:spacing w:after="0" w:line="240" w:lineRule="auto"/>
              <w:jc w:val="center"/>
              <w:rPr>
                <w:rFonts w:ascii="Calibri" w:eastAsia="Times New Roman" w:hAnsi="Calibri" w:cs="Times New Roman"/>
                <w:b/>
                <w:color w:val="FF0000"/>
                <w:sz w:val="14"/>
              </w:rPr>
            </w:pPr>
            <w:r w:rsidRPr="005E58F6">
              <w:rPr>
                <w:rFonts w:ascii="Calibri" w:eastAsia="Times New Roman" w:hAnsi="Calibri" w:cs="Times New Roman"/>
                <w:b/>
                <w:color w:val="FF0000"/>
                <w:sz w:val="14"/>
              </w:rPr>
              <w:t>1.6%</w:t>
            </w:r>
          </w:p>
        </w:tc>
      </w:tr>
    </w:tbl>
    <w:p w14:paraId="35EACB12" w14:textId="77777777" w:rsidR="00BC64BB" w:rsidRPr="00406670" w:rsidRDefault="00BC64BB" w:rsidP="009838D3">
      <w:pPr>
        <w:rPr>
          <w:b/>
        </w:rPr>
      </w:pPr>
    </w:p>
    <w:p w14:paraId="148DD6FA" w14:textId="6A1688E1" w:rsidR="009838D3" w:rsidRPr="00406670" w:rsidRDefault="009838D3" w:rsidP="005017F4">
      <w:pPr>
        <w:pStyle w:val="Heading2"/>
      </w:pPr>
      <w:r w:rsidRPr="00406670">
        <w:t xml:space="preserve">C. Progress in Achieving English Language Proficiency </w:t>
      </w:r>
    </w:p>
    <w:tbl>
      <w:tblPr>
        <w:tblW w:w="5000" w:type="pct"/>
        <w:tblLook w:val="04A0" w:firstRow="1" w:lastRow="0" w:firstColumn="1" w:lastColumn="0" w:noHBand="0" w:noVBand="1"/>
      </w:tblPr>
      <w:tblGrid>
        <w:gridCol w:w="1467"/>
        <w:gridCol w:w="705"/>
        <w:gridCol w:w="635"/>
        <w:gridCol w:w="635"/>
        <w:gridCol w:w="635"/>
        <w:gridCol w:w="635"/>
        <w:gridCol w:w="635"/>
        <w:gridCol w:w="636"/>
        <w:gridCol w:w="636"/>
        <w:gridCol w:w="636"/>
        <w:gridCol w:w="643"/>
        <w:gridCol w:w="636"/>
        <w:gridCol w:w="816"/>
      </w:tblGrid>
      <w:tr w:rsidR="00501864" w:rsidRPr="00501864" w14:paraId="6F03B95C" w14:textId="77777777" w:rsidTr="00501864">
        <w:trPr>
          <w:trHeight w:val="600"/>
        </w:trPr>
        <w:tc>
          <w:tcPr>
            <w:tcW w:w="7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8D111"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English Learner progress toward English Language Proficiency</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96CA5"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Baseline</w:t>
            </w:r>
          </w:p>
        </w:tc>
        <w:tc>
          <w:tcPr>
            <w:tcW w:w="3154" w:type="pct"/>
            <w:gridSpan w:val="9"/>
            <w:tcBorders>
              <w:top w:val="single" w:sz="4" w:space="0" w:color="auto"/>
              <w:left w:val="nil"/>
              <w:bottom w:val="single" w:sz="4" w:space="0" w:color="auto"/>
              <w:right w:val="single" w:sz="4" w:space="0" w:color="auto"/>
            </w:tcBorders>
            <w:shd w:val="clear" w:color="auto" w:fill="auto"/>
            <w:vAlign w:val="center"/>
            <w:hideMark/>
          </w:tcPr>
          <w:p w14:paraId="3299A5F9"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Measures of Interim Progress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4B81057E"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Long-Term Goal</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C89EB" w14:textId="77777777" w:rsidR="00501864" w:rsidRPr="00BC64BB" w:rsidRDefault="00501864" w:rsidP="00501864">
            <w:pPr>
              <w:spacing w:after="0" w:line="240" w:lineRule="auto"/>
              <w:jc w:val="center"/>
              <w:rPr>
                <w:rFonts w:ascii="Calibri" w:eastAsia="Times New Roman" w:hAnsi="Calibri" w:cs="Times New Roman"/>
                <w:b/>
                <w:color w:val="FF0000"/>
                <w:sz w:val="14"/>
              </w:rPr>
            </w:pPr>
            <w:r w:rsidRPr="00BC64BB">
              <w:rPr>
                <w:rFonts w:ascii="Calibri" w:eastAsia="Times New Roman" w:hAnsi="Calibri" w:cs="Times New Roman"/>
                <w:b/>
                <w:color w:val="FF0000"/>
                <w:sz w:val="14"/>
              </w:rPr>
              <w:t>Annual Increment Needed</w:t>
            </w:r>
          </w:p>
        </w:tc>
      </w:tr>
      <w:tr w:rsidR="00501864" w:rsidRPr="00501864" w14:paraId="5454E4F9" w14:textId="77777777" w:rsidTr="00501864">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7CEAF913" w14:textId="77777777" w:rsidR="00501864" w:rsidRPr="001E3DBF" w:rsidRDefault="00501864" w:rsidP="00501864">
            <w:pPr>
              <w:spacing w:after="0" w:line="240" w:lineRule="auto"/>
              <w:rPr>
                <w:rFonts w:ascii="Calibri" w:eastAsia="Times New Roman" w:hAnsi="Calibri" w:cs="Times New Roman"/>
                <w:color w:val="000000"/>
                <w:sz w:val="14"/>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5D625B71" w14:textId="77777777" w:rsidR="00501864" w:rsidRPr="001E3DBF" w:rsidRDefault="00501864" w:rsidP="00501864">
            <w:pPr>
              <w:spacing w:after="0" w:line="240" w:lineRule="auto"/>
              <w:rPr>
                <w:rFonts w:ascii="Calibri" w:eastAsia="Times New Roman" w:hAnsi="Calibri" w:cs="Times New Roman"/>
                <w:b/>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215ADC8A"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1</w:t>
            </w:r>
          </w:p>
        </w:tc>
        <w:tc>
          <w:tcPr>
            <w:tcW w:w="350" w:type="pct"/>
            <w:tcBorders>
              <w:top w:val="nil"/>
              <w:left w:val="nil"/>
              <w:bottom w:val="single" w:sz="4" w:space="0" w:color="auto"/>
              <w:right w:val="single" w:sz="4" w:space="0" w:color="auto"/>
            </w:tcBorders>
            <w:shd w:val="clear" w:color="auto" w:fill="auto"/>
            <w:vAlign w:val="center"/>
            <w:hideMark/>
          </w:tcPr>
          <w:p w14:paraId="35CB4F7C"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2</w:t>
            </w:r>
          </w:p>
        </w:tc>
        <w:tc>
          <w:tcPr>
            <w:tcW w:w="350" w:type="pct"/>
            <w:tcBorders>
              <w:top w:val="nil"/>
              <w:left w:val="nil"/>
              <w:bottom w:val="single" w:sz="4" w:space="0" w:color="auto"/>
              <w:right w:val="single" w:sz="4" w:space="0" w:color="auto"/>
            </w:tcBorders>
            <w:shd w:val="clear" w:color="auto" w:fill="auto"/>
            <w:vAlign w:val="center"/>
            <w:hideMark/>
          </w:tcPr>
          <w:p w14:paraId="53B5081C"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3</w:t>
            </w:r>
          </w:p>
        </w:tc>
        <w:tc>
          <w:tcPr>
            <w:tcW w:w="350" w:type="pct"/>
            <w:tcBorders>
              <w:top w:val="nil"/>
              <w:left w:val="nil"/>
              <w:bottom w:val="single" w:sz="4" w:space="0" w:color="auto"/>
              <w:right w:val="single" w:sz="4" w:space="0" w:color="auto"/>
            </w:tcBorders>
            <w:shd w:val="clear" w:color="auto" w:fill="auto"/>
            <w:vAlign w:val="center"/>
            <w:hideMark/>
          </w:tcPr>
          <w:p w14:paraId="6304FF9F"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4</w:t>
            </w:r>
          </w:p>
        </w:tc>
        <w:tc>
          <w:tcPr>
            <w:tcW w:w="350" w:type="pct"/>
            <w:tcBorders>
              <w:top w:val="nil"/>
              <w:left w:val="nil"/>
              <w:bottom w:val="single" w:sz="4" w:space="0" w:color="auto"/>
              <w:right w:val="single" w:sz="4" w:space="0" w:color="auto"/>
            </w:tcBorders>
            <w:shd w:val="clear" w:color="auto" w:fill="auto"/>
            <w:vAlign w:val="center"/>
            <w:hideMark/>
          </w:tcPr>
          <w:p w14:paraId="51CF74B7"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5</w:t>
            </w:r>
          </w:p>
        </w:tc>
        <w:tc>
          <w:tcPr>
            <w:tcW w:w="350" w:type="pct"/>
            <w:tcBorders>
              <w:top w:val="nil"/>
              <w:left w:val="nil"/>
              <w:bottom w:val="single" w:sz="4" w:space="0" w:color="auto"/>
              <w:right w:val="single" w:sz="4" w:space="0" w:color="auto"/>
            </w:tcBorders>
            <w:shd w:val="clear" w:color="auto" w:fill="auto"/>
            <w:vAlign w:val="center"/>
            <w:hideMark/>
          </w:tcPr>
          <w:p w14:paraId="1EBD7749"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6</w:t>
            </w:r>
          </w:p>
        </w:tc>
        <w:tc>
          <w:tcPr>
            <w:tcW w:w="350" w:type="pct"/>
            <w:tcBorders>
              <w:top w:val="nil"/>
              <w:left w:val="nil"/>
              <w:bottom w:val="single" w:sz="4" w:space="0" w:color="auto"/>
              <w:right w:val="single" w:sz="4" w:space="0" w:color="auto"/>
            </w:tcBorders>
            <w:shd w:val="clear" w:color="auto" w:fill="auto"/>
            <w:vAlign w:val="center"/>
            <w:hideMark/>
          </w:tcPr>
          <w:p w14:paraId="6595E716"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7</w:t>
            </w:r>
          </w:p>
        </w:tc>
        <w:tc>
          <w:tcPr>
            <w:tcW w:w="350" w:type="pct"/>
            <w:tcBorders>
              <w:top w:val="nil"/>
              <w:left w:val="nil"/>
              <w:bottom w:val="single" w:sz="4" w:space="0" w:color="auto"/>
              <w:right w:val="single" w:sz="4" w:space="0" w:color="auto"/>
            </w:tcBorders>
            <w:shd w:val="clear" w:color="auto" w:fill="auto"/>
            <w:vAlign w:val="center"/>
            <w:hideMark/>
          </w:tcPr>
          <w:p w14:paraId="42CF2057"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8</w:t>
            </w:r>
          </w:p>
        </w:tc>
        <w:tc>
          <w:tcPr>
            <w:tcW w:w="350" w:type="pct"/>
            <w:tcBorders>
              <w:top w:val="nil"/>
              <w:left w:val="nil"/>
              <w:bottom w:val="single" w:sz="4" w:space="0" w:color="auto"/>
              <w:right w:val="single" w:sz="4" w:space="0" w:color="auto"/>
            </w:tcBorders>
            <w:shd w:val="clear" w:color="auto" w:fill="auto"/>
            <w:vAlign w:val="center"/>
            <w:hideMark/>
          </w:tcPr>
          <w:p w14:paraId="1F189248"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Year 9</w:t>
            </w:r>
          </w:p>
        </w:tc>
        <w:tc>
          <w:tcPr>
            <w:tcW w:w="350" w:type="pct"/>
            <w:tcBorders>
              <w:top w:val="nil"/>
              <w:left w:val="nil"/>
              <w:bottom w:val="single" w:sz="4" w:space="0" w:color="auto"/>
              <w:right w:val="single" w:sz="4" w:space="0" w:color="auto"/>
            </w:tcBorders>
            <w:shd w:val="clear" w:color="auto" w:fill="auto"/>
            <w:vAlign w:val="center"/>
            <w:hideMark/>
          </w:tcPr>
          <w:p w14:paraId="0CB0A47C"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Year 10</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FA2D1BB" w14:textId="77777777" w:rsidR="00501864" w:rsidRPr="001E3DBF" w:rsidRDefault="00501864" w:rsidP="00501864">
            <w:pPr>
              <w:spacing w:after="0" w:line="240" w:lineRule="auto"/>
              <w:rPr>
                <w:rFonts w:ascii="Calibri" w:eastAsia="Times New Roman" w:hAnsi="Calibri" w:cs="Times New Roman"/>
                <w:b/>
                <w:color w:val="FF0000"/>
                <w:sz w:val="14"/>
              </w:rPr>
            </w:pPr>
          </w:p>
        </w:tc>
      </w:tr>
      <w:tr w:rsidR="00501864" w:rsidRPr="00501864" w14:paraId="4DE2707E" w14:textId="77777777" w:rsidTr="00501864">
        <w:trPr>
          <w:trHeight w:val="300"/>
        </w:trPr>
        <w:tc>
          <w:tcPr>
            <w:tcW w:w="795" w:type="pct"/>
            <w:vMerge/>
            <w:tcBorders>
              <w:top w:val="single" w:sz="4" w:space="0" w:color="auto"/>
              <w:left w:val="single" w:sz="4" w:space="0" w:color="auto"/>
              <w:bottom w:val="single" w:sz="4" w:space="0" w:color="auto"/>
              <w:right w:val="single" w:sz="4" w:space="0" w:color="auto"/>
            </w:tcBorders>
            <w:vAlign w:val="center"/>
            <w:hideMark/>
          </w:tcPr>
          <w:p w14:paraId="57E10FFA" w14:textId="77777777" w:rsidR="00501864" w:rsidRPr="001E3DBF" w:rsidRDefault="00501864" w:rsidP="00501864">
            <w:pPr>
              <w:spacing w:after="0" w:line="240" w:lineRule="auto"/>
              <w:rPr>
                <w:rFonts w:ascii="Calibri" w:eastAsia="Times New Roman" w:hAnsi="Calibri" w:cs="Times New Roman"/>
                <w:color w:val="000000"/>
                <w:sz w:val="14"/>
              </w:rPr>
            </w:pPr>
          </w:p>
        </w:tc>
        <w:tc>
          <w:tcPr>
            <w:tcW w:w="350" w:type="pct"/>
            <w:tcBorders>
              <w:top w:val="nil"/>
              <w:left w:val="nil"/>
              <w:bottom w:val="single" w:sz="4" w:space="0" w:color="auto"/>
              <w:right w:val="single" w:sz="4" w:space="0" w:color="auto"/>
            </w:tcBorders>
            <w:shd w:val="clear" w:color="auto" w:fill="auto"/>
            <w:vAlign w:val="center"/>
            <w:hideMark/>
          </w:tcPr>
          <w:p w14:paraId="702EDCC2"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2016-2017</w:t>
            </w:r>
          </w:p>
        </w:tc>
        <w:tc>
          <w:tcPr>
            <w:tcW w:w="350" w:type="pct"/>
            <w:tcBorders>
              <w:top w:val="nil"/>
              <w:left w:val="nil"/>
              <w:bottom w:val="single" w:sz="4" w:space="0" w:color="auto"/>
              <w:right w:val="single" w:sz="4" w:space="0" w:color="auto"/>
            </w:tcBorders>
            <w:shd w:val="clear" w:color="auto" w:fill="auto"/>
            <w:vAlign w:val="center"/>
            <w:hideMark/>
          </w:tcPr>
          <w:p w14:paraId="50D7F0BE"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2017-2018</w:t>
            </w:r>
          </w:p>
        </w:tc>
        <w:tc>
          <w:tcPr>
            <w:tcW w:w="350" w:type="pct"/>
            <w:tcBorders>
              <w:top w:val="nil"/>
              <w:left w:val="nil"/>
              <w:bottom w:val="single" w:sz="4" w:space="0" w:color="auto"/>
              <w:right w:val="single" w:sz="4" w:space="0" w:color="auto"/>
            </w:tcBorders>
            <w:shd w:val="clear" w:color="auto" w:fill="auto"/>
            <w:vAlign w:val="center"/>
            <w:hideMark/>
          </w:tcPr>
          <w:p w14:paraId="073B8304"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2018-2019</w:t>
            </w:r>
          </w:p>
        </w:tc>
        <w:tc>
          <w:tcPr>
            <w:tcW w:w="350" w:type="pct"/>
            <w:tcBorders>
              <w:top w:val="nil"/>
              <w:left w:val="nil"/>
              <w:bottom w:val="single" w:sz="4" w:space="0" w:color="auto"/>
              <w:right w:val="single" w:sz="4" w:space="0" w:color="auto"/>
            </w:tcBorders>
            <w:shd w:val="clear" w:color="auto" w:fill="auto"/>
            <w:vAlign w:val="center"/>
            <w:hideMark/>
          </w:tcPr>
          <w:p w14:paraId="111DE9B4"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2019-2020</w:t>
            </w:r>
          </w:p>
        </w:tc>
        <w:tc>
          <w:tcPr>
            <w:tcW w:w="350" w:type="pct"/>
            <w:tcBorders>
              <w:top w:val="nil"/>
              <w:left w:val="nil"/>
              <w:bottom w:val="single" w:sz="4" w:space="0" w:color="auto"/>
              <w:right w:val="single" w:sz="4" w:space="0" w:color="auto"/>
            </w:tcBorders>
            <w:shd w:val="clear" w:color="auto" w:fill="auto"/>
            <w:vAlign w:val="center"/>
            <w:hideMark/>
          </w:tcPr>
          <w:p w14:paraId="439B492D"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2020-2021</w:t>
            </w:r>
          </w:p>
        </w:tc>
        <w:tc>
          <w:tcPr>
            <w:tcW w:w="350" w:type="pct"/>
            <w:tcBorders>
              <w:top w:val="nil"/>
              <w:left w:val="nil"/>
              <w:bottom w:val="single" w:sz="4" w:space="0" w:color="auto"/>
              <w:right w:val="single" w:sz="4" w:space="0" w:color="auto"/>
            </w:tcBorders>
            <w:shd w:val="clear" w:color="auto" w:fill="auto"/>
            <w:vAlign w:val="center"/>
            <w:hideMark/>
          </w:tcPr>
          <w:p w14:paraId="37531253"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2021-2022</w:t>
            </w:r>
          </w:p>
        </w:tc>
        <w:tc>
          <w:tcPr>
            <w:tcW w:w="350" w:type="pct"/>
            <w:tcBorders>
              <w:top w:val="nil"/>
              <w:left w:val="nil"/>
              <w:bottom w:val="single" w:sz="4" w:space="0" w:color="auto"/>
              <w:right w:val="single" w:sz="4" w:space="0" w:color="auto"/>
            </w:tcBorders>
            <w:shd w:val="clear" w:color="auto" w:fill="auto"/>
            <w:vAlign w:val="center"/>
            <w:hideMark/>
          </w:tcPr>
          <w:p w14:paraId="08F2BEDE"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2022-2023</w:t>
            </w:r>
          </w:p>
        </w:tc>
        <w:tc>
          <w:tcPr>
            <w:tcW w:w="350" w:type="pct"/>
            <w:tcBorders>
              <w:top w:val="nil"/>
              <w:left w:val="nil"/>
              <w:bottom w:val="single" w:sz="4" w:space="0" w:color="auto"/>
              <w:right w:val="single" w:sz="4" w:space="0" w:color="auto"/>
            </w:tcBorders>
            <w:shd w:val="clear" w:color="auto" w:fill="auto"/>
            <w:vAlign w:val="center"/>
            <w:hideMark/>
          </w:tcPr>
          <w:p w14:paraId="6390ED6A"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2023-2024</w:t>
            </w:r>
          </w:p>
        </w:tc>
        <w:tc>
          <w:tcPr>
            <w:tcW w:w="350" w:type="pct"/>
            <w:tcBorders>
              <w:top w:val="nil"/>
              <w:left w:val="nil"/>
              <w:bottom w:val="single" w:sz="4" w:space="0" w:color="auto"/>
              <w:right w:val="single" w:sz="4" w:space="0" w:color="auto"/>
            </w:tcBorders>
            <w:shd w:val="clear" w:color="auto" w:fill="auto"/>
            <w:vAlign w:val="center"/>
            <w:hideMark/>
          </w:tcPr>
          <w:p w14:paraId="49F0E023"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2024-2025</w:t>
            </w:r>
          </w:p>
        </w:tc>
        <w:tc>
          <w:tcPr>
            <w:tcW w:w="350" w:type="pct"/>
            <w:tcBorders>
              <w:top w:val="nil"/>
              <w:left w:val="nil"/>
              <w:bottom w:val="single" w:sz="4" w:space="0" w:color="auto"/>
              <w:right w:val="single" w:sz="4" w:space="0" w:color="auto"/>
            </w:tcBorders>
            <w:shd w:val="clear" w:color="auto" w:fill="auto"/>
            <w:vAlign w:val="center"/>
            <w:hideMark/>
          </w:tcPr>
          <w:p w14:paraId="38D37662"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2025-2026</w:t>
            </w:r>
          </w:p>
        </w:tc>
        <w:tc>
          <w:tcPr>
            <w:tcW w:w="350" w:type="pct"/>
            <w:tcBorders>
              <w:top w:val="nil"/>
              <w:left w:val="nil"/>
              <w:bottom w:val="single" w:sz="4" w:space="0" w:color="auto"/>
              <w:right w:val="single" w:sz="4" w:space="0" w:color="auto"/>
            </w:tcBorders>
            <w:shd w:val="clear" w:color="auto" w:fill="auto"/>
            <w:vAlign w:val="center"/>
            <w:hideMark/>
          </w:tcPr>
          <w:p w14:paraId="23715503"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2026-2027</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DD70B89" w14:textId="77777777" w:rsidR="00501864" w:rsidRPr="001E3DBF" w:rsidRDefault="00501864" w:rsidP="00501864">
            <w:pPr>
              <w:spacing w:after="0" w:line="240" w:lineRule="auto"/>
              <w:rPr>
                <w:rFonts w:ascii="Calibri" w:eastAsia="Times New Roman" w:hAnsi="Calibri" w:cs="Times New Roman"/>
                <w:b/>
                <w:color w:val="FF0000"/>
                <w:sz w:val="14"/>
              </w:rPr>
            </w:pPr>
          </w:p>
        </w:tc>
      </w:tr>
      <w:tr w:rsidR="00501864" w:rsidRPr="00501864" w14:paraId="52EE27AE" w14:textId="77777777" w:rsidTr="00501864">
        <w:trPr>
          <w:trHeight w:val="300"/>
        </w:trPr>
        <w:tc>
          <w:tcPr>
            <w:tcW w:w="795" w:type="pct"/>
            <w:tcBorders>
              <w:top w:val="nil"/>
              <w:left w:val="single" w:sz="4" w:space="0" w:color="auto"/>
              <w:bottom w:val="single" w:sz="4" w:space="0" w:color="auto"/>
              <w:right w:val="single" w:sz="4" w:space="0" w:color="auto"/>
            </w:tcBorders>
            <w:shd w:val="clear" w:color="auto" w:fill="auto"/>
            <w:noWrap/>
            <w:vAlign w:val="center"/>
            <w:hideMark/>
          </w:tcPr>
          <w:p w14:paraId="030276EE" w14:textId="7D8E0184" w:rsidR="00501864" w:rsidRPr="00BC64BB" w:rsidRDefault="00501864" w:rsidP="00907C7C">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 xml:space="preserve">All </w:t>
            </w:r>
            <w:r w:rsidR="00907C7C">
              <w:rPr>
                <w:rFonts w:ascii="Calibri" w:eastAsia="Times New Roman" w:hAnsi="Calibri" w:cs="Times New Roman"/>
                <w:color w:val="000000"/>
                <w:sz w:val="14"/>
              </w:rPr>
              <w:t>English learners</w:t>
            </w:r>
          </w:p>
        </w:tc>
        <w:tc>
          <w:tcPr>
            <w:tcW w:w="350" w:type="pct"/>
            <w:tcBorders>
              <w:top w:val="nil"/>
              <w:left w:val="nil"/>
              <w:bottom w:val="single" w:sz="4" w:space="0" w:color="auto"/>
              <w:right w:val="single" w:sz="4" w:space="0" w:color="auto"/>
            </w:tcBorders>
            <w:shd w:val="clear" w:color="auto" w:fill="auto"/>
            <w:noWrap/>
            <w:vAlign w:val="center"/>
            <w:hideMark/>
          </w:tcPr>
          <w:p w14:paraId="1099442F"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41.9%</w:t>
            </w:r>
          </w:p>
        </w:tc>
        <w:tc>
          <w:tcPr>
            <w:tcW w:w="350" w:type="pct"/>
            <w:tcBorders>
              <w:top w:val="nil"/>
              <w:left w:val="nil"/>
              <w:bottom w:val="single" w:sz="4" w:space="0" w:color="auto"/>
              <w:right w:val="single" w:sz="4" w:space="0" w:color="auto"/>
            </w:tcBorders>
            <w:shd w:val="clear" w:color="auto" w:fill="auto"/>
            <w:noWrap/>
            <w:vAlign w:val="center"/>
            <w:hideMark/>
          </w:tcPr>
          <w:p w14:paraId="62D969A2"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44.7%</w:t>
            </w:r>
          </w:p>
        </w:tc>
        <w:tc>
          <w:tcPr>
            <w:tcW w:w="350" w:type="pct"/>
            <w:tcBorders>
              <w:top w:val="nil"/>
              <w:left w:val="nil"/>
              <w:bottom w:val="single" w:sz="4" w:space="0" w:color="auto"/>
              <w:right w:val="single" w:sz="4" w:space="0" w:color="auto"/>
            </w:tcBorders>
            <w:shd w:val="clear" w:color="auto" w:fill="auto"/>
            <w:noWrap/>
            <w:vAlign w:val="center"/>
            <w:hideMark/>
          </w:tcPr>
          <w:p w14:paraId="49B66349"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47.5%</w:t>
            </w:r>
          </w:p>
        </w:tc>
        <w:tc>
          <w:tcPr>
            <w:tcW w:w="350" w:type="pct"/>
            <w:tcBorders>
              <w:top w:val="nil"/>
              <w:left w:val="nil"/>
              <w:bottom w:val="single" w:sz="4" w:space="0" w:color="auto"/>
              <w:right w:val="single" w:sz="4" w:space="0" w:color="auto"/>
            </w:tcBorders>
            <w:shd w:val="clear" w:color="auto" w:fill="auto"/>
            <w:noWrap/>
            <w:vAlign w:val="center"/>
            <w:hideMark/>
          </w:tcPr>
          <w:p w14:paraId="750BD5E3"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50.3%</w:t>
            </w:r>
          </w:p>
        </w:tc>
        <w:tc>
          <w:tcPr>
            <w:tcW w:w="350" w:type="pct"/>
            <w:tcBorders>
              <w:top w:val="nil"/>
              <w:left w:val="nil"/>
              <w:bottom w:val="single" w:sz="4" w:space="0" w:color="auto"/>
              <w:right w:val="single" w:sz="4" w:space="0" w:color="auto"/>
            </w:tcBorders>
            <w:shd w:val="clear" w:color="auto" w:fill="auto"/>
            <w:noWrap/>
            <w:vAlign w:val="center"/>
            <w:hideMark/>
          </w:tcPr>
          <w:p w14:paraId="621954A8"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53.1%</w:t>
            </w:r>
          </w:p>
        </w:tc>
        <w:tc>
          <w:tcPr>
            <w:tcW w:w="350" w:type="pct"/>
            <w:tcBorders>
              <w:top w:val="nil"/>
              <w:left w:val="nil"/>
              <w:bottom w:val="single" w:sz="4" w:space="0" w:color="auto"/>
              <w:right w:val="single" w:sz="4" w:space="0" w:color="auto"/>
            </w:tcBorders>
            <w:shd w:val="clear" w:color="auto" w:fill="auto"/>
            <w:noWrap/>
            <w:vAlign w:val="center"/>
            <w:hideMark/>
          </w:tcPr>
          <w:p w14:paraId="00D1A027"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56.0%</w:t>
            </w:r>
          </w:p>
        </w:tc>
        <w:tc>
          <w:tcPr>
            <w:tcW w:w="350" w:type="pct"/>
            <w:tcBorders>
              <w:top w:val="nil"/>
              <w:left w:val="nil"/>
              <w:bottom w:val="single" w:sz="4" w:space="0" w:color="auto"/>
              <w:right w:val="single" w:sz="4" w:space="0" w:color="auto"/>
            </w:tcBorders>
            <w:shd w:val="clear" w:color="auto" w:fill="auto"/>
            <w:noWrap/>
            <w:vAlign w:val="center"/>
            <w:hideMark/>
          </w:tcPr>
          <w:p w14:paraId="04F9B9F5"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58.8%</w:t>
            </w:r>
          </w:p>
        </w:tc>
        <w:tc>
          <w:tcPr>
            <w:tcW w:w="350" w:type="pct"/>
            <w:tcBorders>
              <w:top w:val="nil"/>
              <w:left w:val="nil"/>
              <w:bottom w:val="single" w:sz="4" w:space="0" w:color="auto"/>
              <w:right w:val="single" w:sz="4" w:space="0" w:color="auto"/>
            </w:tcBorders>
            <w:shd w:val="clear" w:color="auto" w:fill="auto"/>
            <w:noWrap/>
            <w:vAlign w:val="center"/>
            <w:hideMark/>
          </w:tcPr>
          <w:p w14:paraId="7B5FB1E9"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61.6%</w:t>
            </w:r>
          </w:p>
        </w:tc>
        <w:tc>
          <w:tcPr>
            <w:tcW w:w="350" w:type="pct"/>
            <w:tcBorders>
              <w:top w:val="nil"/>
              <w:left w:val="nil"/>
              <w:bottom w:val="single" w:sz="4" w:space="0" w:color="auto"/>
              <w:right w:val="single" w:sz="4" w:space="0" w:color="auto"/>
            </w:tcBorders>
            <w:shd w:val="clear" w:color="auto" w:fill="auto"/>
            <w:noWrap/>
            <w:vAlign w:val="center"/>
            <w:hideMark/>
          </w:tcPr>
          <w:p w14:paraId="21392F0A"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64.4%</w:t>
            </w:r>
          </w:p>
        </w:tc>
        <w:tc>
          <w:tcPr>
            <w:tcW w:w="350" w:type="pct"/>
            <w:tcBorders>
              <w:top w:val="nil"/>
              <w:left w:val="nil"/>
              <w:bottom w:val="single" w:sz="4" w:space="0" w:color="auto"/>
              <w:right w:val="single" w:sz="4" w:space="0" w:color="auto"/>
            </w:tcBorders>
            <w:shd w:val="clear" w:color="auto" w:fill="auto"/>
            <w:noWrap/>
            <w:vAlign w:val="center"/>
            <w:hideMark/>
          </w:tcPr>
          <w:p w14:paraId="29CE62BC" w14:textId="77777777" w:rsidR="00501864" w:rsidRPr="00BC64BB" w:rsidRDefault="00501864" w:rsidP="00501864">
            <w:pPr>
              <w:spacing w:after="0" w:line="240" w:lineRule="auto"/>
              <w:jc w:val="center"/>
              <w:rPr>
                <w:rFonts w:ascii="Calibri" w:eastAsia="Times New Roman" w:hAnsi="Calibri" w:cs="Times New Roman"/>
                <w:color w:val="000000"/>
                <w:sz w:val="14"/>
              </w:rPr>
            </w:pPr>
            <w:r w:rsidRPr="00BC64BB">
              <w:rPr>
                <w:rFonts w:ascii="Calibri" w:eastAsia="Times New Roman" w:hAnsi="Calibri" w:cs="Times New Roman"/>
                <w:color w:val="000000"/>
                <w:sz w:val="14"/>
              </w:rPr>
              <w:t>67.2%</w:t>
            </w:r>
          </w:p>
        </w:tc>
        <w:tc>
          <w:tcPr>
            <w:tcW w:w="350" w:type="pct"/>
            <w:tcBorders>
              <w:top w:val="nil"/>
              <w:left w:val="nil"/>
              <w:bottom w:val="single" w:sz="4" w:space="0" w:color="auto"/>
              <w:right w:val="single" w:sz="4" w:space="0" w:color="auto"/>
            </w:tcBorders>
            <w:shd w:val="clear" w:color="auto" w:fill="auto"/>
            <w:noWrap/>
            <w:vAlign w:val="center"/>
            <w:hideMark/>
          </w:tcPr>
          <w:p w14:paraId="6DAE8070" w14:textId="77777777" w:rsidR="00501864" w:rsidRPr="00BC64BB" w:rsidRDefault="00501864" w:rsidP="00501864">
            <w:pPr>
              <w:spacing w:after="0" w:line="240" w:lineRule="auto"/>
              <w:jc w:val="center"/>
              <w:rPr>
                <w:rFonts w:ascii="Calibri" w:eastAsia="Times New Roman" w:hAnsi="Calibri" w:cs="Times New Roman"/>
                <w:b/>
                <w:color w:val="000000"/>
                <w:sz w:val="14"/>
              </w:rPr>
            </w:pPr>
            <w:r w:rsidRPr="00BC64BB">
              <w:rPr>
                <w:rFonts w:ascii="Calibri" w:eastAsia="Times New Roman" w:hAnsi="Calibri" w:cs="Times New Roman"/>
                <w:b/>
                <w:color w:val="000000"/>
                <w:sz w:val="14"/>
              </w:rPr>
              <w:t>70.0%</w:t>
            </w:r>
          </w:p>
        </w:tc>
        <w:tc>
          <w:tcPr>
            <w:tcW w:w="350" w:type="pct"/>
            <w:tcBorders>
              <w:top w:val="nil"/>
              <w:left w:val="nil"/>
              <w:bottom w:val="single" w:sz="4" w:space="0" w:color="auto"/>
              <w:right w:val="single" w:sz="4" w:space="0" w:color="auto"/>
            </w:tcBorders>
            <w:shd w:val="clear" w:color="auto" w:fill="auto"/>
            <w:noWrap/>
            <w:vAlign w:val="center"/>
            <w:hideMark/>
          </w:tcPr>
          <w:p w14:paraId="5A824717" w14:textId="77777777" w:rsidR="00501864" w:rsidRPr="00BC64BB" w:rsidRDefault="00501864" w:rsidP="00501864">
            <w:pPr>
              <w:spacing w:after="0" w:line="240" w:lineRule="auto"/>
              <w:jc w:val="center"/>
              <w:rPr>
                <w:rFonts w:ascii="Calibri" w:eastAsia="Times New Roman" w:hAnsi="Calibri" w:cs="Times New Roman"/>
                <w:b/>
                <w:color w:val="FF0000"/>
                <w:sz w:val="14"/>
              </w:rPr>
            </w:pPr>
            <w:r w:rsidRPr="00BC64BB">
              <w:rPr>
                <w:rFonts w:ascii="Calibri" w:eastAsia="Times New Roman" w:hAnsi="Calibri" w:cs="Times New Roman"/>
                <w:b/>
                <w:color w:val="FF0000"/>
                <w:sz w:val="14"/>
              </w:rPr>
              <w:t>2.8%</w:t>
            </w:r>
          </w:p>
        </w:tc>
      </w:tr>
    </w:tbl>
    <w:p w14:paraId="05620211" w14:textId="4BDD26BB" w:rsidR="009838D3" w:rsidRPr="00406670" w:rsidRDefault="009838D3" w:rsidP="009838D3">
      <w:pPr>
        <w:rPr>
          <w:b/>
        </w:rPr>
      </w:pPr>
    </w:p>
    <w:p w14:paraId="48D92F20" w14:textId="77777777" w:rsidR="00BC64BB" w:rsidRDefault="00BC64BB" w:rsidP="009838D3">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sectPr w:rsidR="00BC64BB" w:rsidSect="005017F4">
          <w:headerReference w:type="default" r:id="rId71"/>
          <w:pgSz w:w="12240" w:h="15840"/>
          <w:pgMar w:top="1440" w:right="1440" w:bottom="1440" w:left="1440" w:header="720" w:footer="432" w:gutter="0"/>
          <w:cols w:space="720"/>
          <w:docGrid w:linePitch="360"/>
        </w:sectPr>
      </w:pPr>
    </w:p>
    <w:p w14:paraId="470CC69D" w14:textId="740A4B94" w:rsidR="009838D3" w:rsidRPr="00230CD1" w:rsidRDefault="009838D3" w:rsidP="009838D3">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Pr>
          <w:sz w:val="18"/>
          <w:szCs w:val="18"/>
        </w:rPr>
        <w:lastRenderedPageBreak/>
        <w:t>OMB Control No. 1894-0005 (Exp. 03/31/2017)</w:t>
      </w:r>
      <w:r>
        <w:rPr>
          <w:sz w:val="20"/>
        </w:rPr>
        <w:tab/>
      </w:r>
    </w:p>
    <w:p w14:paraId="29AEE5EB" w14:textId="294207B2" w:rsidR="00CD1007" w:rsidRPr="005017F4" w:rsidRDefault="00E672BC" w:rsidP="005017F4">
      <w:pPr>
        <w:pStyle w:val="Heading1"/>
      </w:pPr>
      <w:bookmarkStart w:id="19" w:name="_Toc6231636"/>
      <w:r w:rsidRPr="005017F4">
        <w:t>Appendix B: Section 427 of the General Education Provisions Act (GEPA)</w:t>
      </w:r>
      <w:bookmarkEnd w:id="19"/>
    </w:p>
    <w:p w14:paraId="35B7395F" w14:textId="77777777" w:rsidR="00CD1007" w:rsidRPr="00DE45CD" w:rsidRDefault="00CD1007" w:rsidP="00CD100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r w:rsidRPr="00DE45CD">
        <w:rPr>
          <w:rFonts w:ascii="Times New Roman" w:hAnsi="Times New Roman" w:cs="Times New Roman"/>
          <w:i/>
        </w:rPr>
        <w:t xml:space="preserve">Instructions: </w:t>
      </w:r>
      <w:r>
        <w:rPr>
          <w:rFonts w:ascii="Times New Roman" w:hAnsi="Times New Roman" w:cs="Times New Roman"/>
          <w:i/>
        </w:rPr>
        <w:t>In the text box below,</w:t>
      </w:r>
      <w:r w:rsidRPr="00DD31E0">
        <w:t xml:space="preserve"> </w:t>
      </w:r>
      <w:r w:rsidRPr="00DD31E0">
        <w:rPr>
          <w:rFonts w:ascii="Times New Roman" w:hAnsi="Times New Roman" w:cs="Times New Roman"/>
          <w:i/>
        </w:rPr>
        <w:t>descri</w:t>
      </w:r>
      <w:r>
        <w:rPr>
          <w:rFonts w:ascii="Times New Roman" w:hAnsi="Times New Roman" w:cs="Times New Roman"/>
          <w:i/>
        </w:rPr>
        <w:t>be</w:t>
      </w:r>
      <w:r w:rsidRPr="00DD31E0">
        <w:rPr>
          <w:rFonts w:ascii="Times New Roman" w:hAnsi="Times New Roman" w:cs="Times New Roman"/>
          <w:i/>
        </w:rPr>
        <w:t xml:space="preserve"> the steps the applicant proposes to take to ensure equitable access to, and participation in, its Federally-assisted program for students, teachers, and other program beneficiaries with special needs</w:t>
      </w:r>
      <w:r>
        <w:rPr>
          <w:rFonts w:ascii="Times New Roman" w:hAnsi="Times New Roman" w:cs="Times New Roman"/>
          <w:i/>
        </w:rPr>
        <w:t xml:space="preserve"> p</w:t>
      </w:r>
      <w:r w:rsidRPr="00DE45CD">
        <w:rPr>
          <w:rFonts w:ascii="Times New Roman" w:hAnsi="Times New Roman" w:cs="Times New Roman"/>
          <w:i/>
        </w:rPr>
        <w:t>rovide the information</w:t>
      </w:r>
      <w:r>
        <w:rPr>
          <w:rFonts w:ascii="Times New Roman" w:hAnsi="Times New Roman" w:cs="Times New Roman"/>
          <w:i/>
        </w:rPr>
        <w:t xml:space="preserve"> to meet the requirements of</w:t>
      </w:r>
      <w:r w:rsidRPr="00DE45CD">
        <w:rPr>
          <w:rFonts w:ascii="Times New Roman" w:hAnsi="Times New Roman" w:cs="Times New Roman"/>
          <w:i/>
        </w:rPr>
        <w:t xml:space="preserve"> Section 427 of the General Education Provisions Act (GEPA)</w:t>
      </w:r>
      <w:r>
        <w:rPr>
          <w:rFonts w:ascii="Times New Roman" w:hAnsi="Times New Roman" w:cs="Times New Roman"/>
          <w:i/>
        </w:rPr>
        <w:t xml:space="preserve">, consistent with the following instructions. </w:t>
      </w:r>
      <w:r w:rsidRPr="00DE45CD">
        <w:rPr>
          <w:rFonts w:ascii="Times New Roman" w:hAnsi="Times New Roman" w:cs="Times New Roman"/>
          <w:i/>
        </w:rPr>
        <w:t xml:space="preserve"> </w:t>
      </w:r>
    </w:p>
    <w:sdt>
      <w:sdtPr>
        <w:rPr>
          <w:rFonts w:asciiTheme="minorHAnsi" w:hAnsiTheme="minorHAnsi" w:cstheme="minorBidi"/>
          <w:b/>
          <w:color w:val="auto"/>
          <w:sz w:val="22"/>
          <w:szCs w:val="22"/>
        </w:rPr>
        <w:id w:val="2142922907"/>
      </w:sdtPr>
      <w:sdtEndPr/>
      <w:sdtContent>
        <w:p w14:paraId="673AC039" w14:textId="77777777" w:rsidR="00CD1007" w:rsidRPr="00CD1007" w:rsidRDefault="00CD1007" w:rsidP="00CD1007">
          <w:pPr>
            <w:pStyle w:val="Default"/>
            <w:rPr>
              <w:rFonts w:ascii="Calibri" w:hAnsi="Calibri" w:cs="Calibri"/>
            </w:rPr>
          </w:pPr>
        </w:p>
        <w:p w14:paraId="4D57ACBE" w14:textId="77777777" w:rsidR="00CD1007" w:rsidRPr="005017F4" w:rsidRDefault="00CD1007" w:rsidP="00CD1007">
          <w:pPr>
            <w:autoSpaceDE w:val="0"/>
            <w:autoSpaceDN w:val="0"/>
            <w:adjustRightInd w:val="0"/>
            <w:spacing w:after="0" w:line="240" w:lineRule="auto"/>
            <w:rPr>
              <w:rFonts w:ascii="Calibri" w:hAnsi="Calibri" w:cs="Calibri"/>
              <w:color w:val="3B3B3B"/>
            </w:rPr>
          </w:pPr>
          <w:r w:rsidRPr="005017F4">
            <w:rPr>
              <w:rFonts w:ascii="Calibri" w:hAnsi="Calibri" w:cs="Calibri"/>
              <w:color w:val="3B3B3B"/>
            </w:rPr>
            <w:t xml:space="preserve">The </w:t>
          </w:r>
          <w:r w:rsidRPr="005017F4">
            <w:rPr>
              <w:rFonts w:ascii="Calibri" w:hAnsi="Calibri" w:cs="Calibri"/>
              <w:color w:val="282828"/>
            </w:rPr>
            <w:t xml:space="preserve">Alaska Department of Education &amp; Early Development (DEED) </w:t>
          </w:r>
          <w:r w:rsidRPr="005017F4">
            <w:rPr>
              <w:rFonts w:ascii="Calibri" w:hAnsi="Calibri" w:cs="Calibri"/>
              <w:color w:val="3B3B3B"/>
            </w:rPr>
            <w:t xml:space="preserve">ensures equitable </w:t>
          </w:r>
          <w:r w:rsidRPr="005017F4">
            <w:rPr>
              <w:rFonts w:ascii="Calibri" w:hAnsi="Calibri" w:cs="Calibri"/>
              <w:color w:val="282828"/>
            </w:rPr>
            <w:t xml:space="preserve">access to </w:t>
          </w:r>
          <w:r w:rsidRPr="005017F4">
            <w:rPr>
              <w:rFonts w:ascii="Calibri" w:hAnsi="Calibri" w:cs="Calibri"/>
              <w:color w:val="3B3B3B"/>
            </w:rPr>
            <w:t xml:space="preserve">and participation in </w:t>
          </w:r>
          <w:r w:rsidRPr="005017F4">
            <w:rPr>
              <w:rFonts w:ascii="Calibri" w:hAnsi="Calibri" w:cs="Calibri"/>
              <w:color w:val="282828"/>
            </w:rPr>
            <w:t>it</w:t>
          </w:r>
          <w:r w:rsidRPr="005017F4">
            <w:rPr>
              <w:rFonts w:ascii="Calibri" w:hAnsi="Calibri" w:cs="Calibri"/>
              <w:color w:val="525252"/>
            </w:rPr>
            <w:t>s f</w:t>
          </w:r>
          <w:r w:rsidRPr="005017F4">
            <w:rPr>
              <w:rFonts w:ascii="Calibri" w:hAnsi="Calibri" w:cs="Calibri"/>
              <w:color w:val="3B3B3B"/>
            </w:rPr>
            <w:t xml:space="preserve">ederally-assisted </w:t>
          </w:r>
          <w:r w:rsidRPr="005017F4">
            <w:rPr>
              <w:rFonts w:ascii="Calibri" w:hAnsi="Calibri" w:cs="Calibri"/>
              <w:color w:val="282828"/>
            </w:rPr>
            <w:t xml:space="preserve">programs </w:t>
          </w:r>
          <w:r w:rsidRPr="005017F4">
            <w:rPr>
              <w:rFonts w:ascii="Calibri" w:hAnsi="Calibri" w:cs="Calibri"/>
              <w:color w:val="3B3B3B"/>
            </w:rPr>
            <w:t xml:space="preserve">for students, </w:t>
          </w:r>
          <w:r w:rsidRPr="005017F4">
            <w:rPr>
              <w:rFonts w:ascii="Calibri" w:hAnsi="Calibri" w:cs="Calibri"/>
              <w:color w:val="282828"/>
            </w:rPr>
            <w:t>teacher</w:t>
          </w:r>
          <w:r w:rsidRPr="005017F4">
            <w:rPr>
              <w:rFonts w:ascii="Calibri" w:hAnsi="Calibri" w:cs="Calibri"/>
              <w:color w:val="525252"/>
            </w:rPr>
            <w:t xml:space="preserve">s, </w:t>
          </w:r>
          <w:r w:rsidRPr="005017F4">
            <w:rPr>
              <w:rFonts w:ascii="Calibri" w:hAnsi="Calibri" w:cs="Calibri"/>
              <w:color w:val="3B3B3B"/>
            </w:rPr>
            <w:t xml:space="preserve">and other </w:t>
          </w:r>
          <w:r w:rsidRPr="005017F4">
            <w:rPr>
              <w:rFonts w:ascii="Calibri" w:hAnsi="Calibri" w:cs="Calibri"/>
              <w:color w:val="282828"/>
            </w:rPr>
            <w:t xml:space="preserve">program </w:t>
          </w:r>
          <w:r w:rsidRPr="005017F4">
            <w:rPr>
              <w:rFonts w:ascii="Calibri" w:hAnsi="Calibri" w:cs="Calibri"/>
              <w:color w:val="3B3B3B"/>
            </w:rPr>
            <w:t xml:space="preserve">beneficiaries with special </w:t>
          </w:r>
          <w:r w:rsidRPr="005017F4">
            <w:rPr>
              <w:rFonts w:ascii="Calibri" w:hAnsi="Calibri" w:cs="Calibri"/>
              <w:color w:val="282828"/>
            </w:rPr>
            <w:t xml:space="preserve">needs </w:t>
          </w:r>
          <w:r w:rsidRPr="005017F4">
            <w:rPr>
              <w:rFonts w:ascii="Calibri" w:hAnsi="Calibri" w:cs="Calibri"/>
              <w:color w:val="3B3B3B"/>
            </w:rPr>
            <w:t xml:space="preserve">or special </w:t>
          </w:r>
          <w:r w:rsidRPr="005017F4">
            <w:rPr>
              <w:rFonts w:ascii="Calibri" w:hAnsi="Calibri" w:cs="Calibri"/>
              <w:color w:val="282828"/>
            </w:rPr>
            <w:t xml:space="preserve">considerations. </w:t>
          </w:r>
          <w:r w:rsidRPr="005017F4">
            <w:rPr>
              <w:rFonts w:ascii="Calibri" w:hAnsi="Calibri" w:cs="Calibri"/>
              <w:color w:val="3B3B3B"/>
            </w:rPr>
            <w:t xml:space="preserve">The following six types of </w:t>
          </w:r>
          <w:r w:rsidRPr="005017F4">
            <w:rPr>
              <w:rFonts w:ascii="Calibri" w:hAnsi="Calibri" w:cs="Calibri"/>
              <w:color w:val="282828"/>
            </w:rPr>
            <w:t>barrier</w:t>
          </w:r>
          <w:r w:rsidRPr="005017F4">
            <w:rPr>
              <w:rFonts w:ascii="Calibri" w:hAnsi="Calibri" w:cs="Calibri"/>
              <w:color w:val="525252"/>
            </w:rPr>
            <w:t xml:space="preserve">s, </w:t>
          </w:r>
          <w:r w:rsidRPr="005017F4">
            <w:rPr>
              <w:rFonts w:ascii="Calibri" w:hAnsi="Calibri" w:cs="Calibri"/>
              <w:color w:val="3B3B3B"/>
            </w:rPr>
            <w:t xml:space="preserve">as highlighted </w:t>
          </w:r>
          <w:r w:rsidRPr="005017F4">
            <w:rPr>
              <w:rFonts w:ascii="Calibri" w:hAnsi="Calibri" w:cs="Calibri"/>
              <w:color w:val="282828"/>
            </w:rPr>
            <w:t>b</w:t>
          </w:r>
          <w:r w:rsidRPr="005017F4">
            <w:rPr>
              <w:rFonts w:ascii="Calibri" w:hAnsi="Calibri" w:cs="Calibri"/>
              <w:color w:val="525252"/>
            </w:rPr>
            <w:t xml:space="preserve">y </w:t>
          </w:r>
          <w:r w:rsidRPr="005017F4">
            <w:rPr>
              <w:rFonts w:ascii="Calibri" w:hAnsi="Calibri" w:cs="Calibri"/>
              <w:color w:val="3B3B3B"/>
            </w:rPr>
            <w:t xml:space="preserve">the </w:t>
          </w:r>
          <w:r w:rsidRPr="005017F4">
            <w:rPr>
              <w:rFonts w:ascii="Calibri" w:hAnsi="Calibri" w:cs="Calibri"/>
              <w:color w:val="525252"/>
            </w:rPr>
            <w:t>statu</w:t>
          </w:r>
          <w:r w:rsidRPr="005017F4">
            <w:rPr>
              <w:rFonts w:ascii="Calibri" w:hAnsi="Calibri" w:cs="Calibri"/>
              <w:color w:val="282828"/>
            </w:rPr>
            <w:t xml:space="preserve">te, have been </w:t>
          </w:r>
          <w:r w:rsidRPr="005017F4">
            <w:rPr>
              <w:rFonts w:ascii="Calibri" w:hAnsi="Calibri" w:cs="Calibri"/>
              <w:color w:val="3B3B3B"/>
            </w:rPr>
            <w:t xml:space="preserve">considered </w:t>
          </w:r>
          <w:r w:rsidRPr="005017F4">
            <w:rPr>
              <w:rFonts w:ascii="Calibri" w:hAnsi="Calibri" w:cs="Calibri"/>
              <w:color w:val="282828"/>
            </w:rPr>
            <w:t xml:space="preserve">in the development of DEED </w:t>
          </w:r>
          <w:r w:rsidRPr="005017F4">
            <w:rPr>
              <w:rFonts w:ascii="Calibri" w:hAnsi="Calibri" w:cs="Calibri"/>
              <w:color w:val="3B3B3B"/>
            </w:rPr>
            <w:t xml:space="preserve">projects. </w:t>
          </w:r>
        </w:p>
        <w:p w14:paraId="04A89A0A" w14:textId="77777777" w:rsidR="00CD1007" w:rsidRPr="005017F4" w:rsidRDefault="00CD1007" w:rsidP="00CD1007">
          <w:pPr>
            <w:autoSpaceDE w:val="0"/>
            <w:autoSpaceDN w:val="0"/>
            <w:adjustRightInd w:val="0"/>
            <w:spacing w:after="0" w:line="240" w:lineRule="auto"/>
            <w:rPr>
              <w:rFonts w:ascii="Calibri" w:hAnsi="Calibri" w:cs="Calibri"/>
              <w:color w:val="3B3B3B"/>
            </w:rPr>
          </w:pPr>
        </w:p>
        <w:p w14:paraId="378AE411" w14:textId="77777777" w:rsidR="00CD1007" w:rsidRPr="005017F4" w:rsidRDefault="00CD1007" w:rsidP="00CD1007">
          <w:pPr>
            <w:autoSpaceDE w:val="0"/>
            <w:autoSpaceDN w:val="0"/>
            <w:adjustRightInd w:val="0"/>
            <w:spacing w:after="316" w:line="240" w:lineRule="auto"/>
            <w:rPr>
              <w:rFonts w:ascii="Calibri" w:hAnsi="Calibri" w:cs="Calibri"/>
              <w:color w:val="3B3B3B"/>
            </w:rPr>
          </w:pPr>
          <w:r w:rsidRPr="005017F4">
            <w:rPr>
              <w:rFonts w:ascii="Calibri" w:hAnsi="Calibri" w:cs="Calibri"/>
              <w:color w:val="282828"/>
            </w:rPr>
            <w:t>1. Gender</w:t>
          </w:r>
          <w:r w:rsidRPr="005017F4">
            <w:rPr>
              <w:rFonts w:ascii="Calibri" w:hAnsi="Calibri" w:cs="Calibri"/>
              <w:color w:val="7E7E7E"/>
            </w:rPr>
            <w:t>. P</w:t>
          </w:r>
          <w:r w:rsidRPr="005017F4">
            <w:rPr>
              <w:rFonts w:ascii="Calibri" w:hAnsi="Calibri" w:cs="Calibri"/>
              <w:color w:val="282828"/>
            </w:rPr>
            <w:t xml:space="preserve">rograms </w:t>
          </w:r>
          <w:r w:rsidRPr="005017F4">
            <w:rPr>
              <w:rFonts w:ascii="Calibri" w:hAnsi="Calibri" w:cs="Calibri"/>
              <w:color w:val="3B3B3B"/>
            </w:rPr>
            <w:t xml:space="preserve">are available </w:t>
          </w:r>
          <w:r w:rsidRPr="005017F4">
            <w:rPr>
              <w:rFonts w:ascii="Calibri" w:hAnsi="Calibri" w:cs="Calibri"/>
              <w:color w:val="282828"/>
            </w:rPr>
            <w:t xml:space="preserve">and open to </w:t>
          </w:r>
          <w:r w:rsidRPr="005017F4">
            <w:rPr>
              <w:rFonts w:ascii="Calibri" w:hAnsi="Calibri" w:cs="Calibri"/>
              <w:color w:val="3B3B3B"/>
            </w:rPr>
            <w:t xml:space="preserve">all </w:t>
          </w:r>
          <w:r w:rsidRPr="005017F4">
            <w:rPr>
              <w:rFonts w:ascii="Calibri" w:hAnsi="Calibri" w:cs="Calibri"/>
              <w:color w:val="282828"/>
            </w:rPr>
            <w:t>participant</w:t>
          </w:r>
          <w:r w:rsidRPr="005017F4">
            <w:rPr>
              <w:rFonts w:ascii="Calibri" w:hAnsi="Calibri" w:cs="Calibri"/>
              <w:color w:val="525252"/>
            </w:rPr>
            <w:t xml:space="preserve">s </w:t>
          </w:r>
          <w:r w:rsidRPr="005017F4">
            <w:rPr>
              <w:rFonts w:ascii="Calibri" w:hAnsi="Calibri" w:cs="Calibri"/>
              <w:color w:val="282828"/>
            </w:rPr>
            <w:t>rega</w:t>
          </w:r>
          <w:r w:rsidRPr="005017F4">
            <w:rPr>
              <w:rFonts w:ascii="Calibri" w:hAnsi="Calibri" w:cs="Calibri"/>
              <w:color w:val="525252"/>
            </w:rPr>
            <w:t xml:space="preserve">rdless </w:t>
          </w:r>
          <w:r w:rsidRPr="005017F4">
            <w:rPr>
              <w:rFonts w:ascii="Calibri" w:hAnsi="Calibri" w:cs="Calibri"/>
              <w:color w:val="3B3B3B"/>
            </w:rPr>
            <w:t xml:space="preserve">of their gender or sex. </w:t>
          </w:r>
        </w:p>
        <w:p w14:paraId="665C415B" w14:textId="77777777" w:rsidR="00CD1007" w:rsidRPr="005017F4" w:rsidRDefault="00CD1007" w:rsidP="00CD1007">
          <w:pPr>
            <w:autoSpaceDE w:val="0"/>
            <w:autoSpaceDN w:val="0"/>
            <w:adjustRightInd w:val="0"/>
            <w:spacing w:after="316" w:line="240" w:lineRule="auto"/>
            <w:rPr>
              <w:rFonts w:ascii="Calibri" w:hAnsi="Calibri" w:cs="Calibri"/>
              <w:color w:val="282828"/>
            </w:rPr>
          </w:pPr>
          <w:r w:rsidRPr="005017F4">
            <w:rPr>
              <w:rFonts w:ascii="Calibri" w:hAnsi="Calibri" w:cs="Calibri"/>
              <w:color w:val="282828"/>
            </w:rPr>
            <w:t xml:space="preserve">2. Race. Programs are </w:t>
          </w:r>
          <w:r w:rsidRPr="005017F4">
            <w:rPr>
              <w:rFonts w:ascii="Calibri" w:hAnsi="Calibri" w:cs="Calibri"/>
              <w:color w:val="3B3B3B"/>
            </w:rPr>
            <w:t xml:space="preserve">available and </w:t>
          </w:r>
          <w:r w:rsidRPr="005017F4">
            <w:rPr>
              <w:rFonts w:ascii="Calibri" w:hAnsi="Calibri" w:cs="Calibri"/>
              <w:color w:val="282828"/>
            </w:rPr>
            <w:t xml:space="preserve">open to </w:t>
          </w:r>
          <w:r w:rsidRPr="005017F4">
            <w:rPr>
              <w:rFonts w:ascii="Calibri" w:hAnsi="Calibri" w:cs="Calibri"/>
              <w:color w:val="3B3B3B"/>
            </w:rPr>
            <w:t xml:space="preserve">all participants regardless of </w:t>
          </w:r>
          <w:r w:rsidRPr="005017F4">
            <w:rPr>
              <w:rFonts w:ascii="Calibri" w:hAnsi="Calibri" w:cs="Calibri"/>
              <w:color w:val="282828"/>
            </w:rPr>
            <w:t xml:space="preserve">their race. </w:t>
          </w:r>
        </w:p>
        <w:p w14:paraId="7C443073" w14:textId="77777777" w:rsidR="00CD1007" w:rsidRPr="005017F4" w:rsidRDefault="00CD1007" w:rsidP="00CD1007">
          <w:pPr>
            <w:autoSpaceDE w:val="0"/>
            <w:autoSpaceDN w:val="0"/>
            <w:adjustRightInd w:val="0"/>
            <w:spacing w:after="316" w:line="240" w:lineRule="auto"/>
            <w:rPr>
              <w:rFonts w:ascii="Calibri" w:hAnsi="Calibri" w:cs="Calibri"/>
              <w:color w:val="3B3B3B"/>
            </w:rPr>
          </w:pPr>
          <w:r w:rsidRPr="005017F4">
            <w:rPr>
              <w:rFonts w:ascii="Calibri" w:hAnsi="Calibri" w:cs="Calibri"/>
              <w:color w:val="282828"/>
            </w:rPr>
            <w:t xml:space="preserve">3. National </w:t>
          </w:r>
          <w:r w:rsidRPr="005017F4">
            <w:rPr>
              <w:rFonts w:ascii="Calibri" w:hAnsi="Calibri" w:cs="Calibri"/>
              <w:color w:val="3B3B3B"/>
            </w:rPr>
            <w:t>Origin. P</w:t>
          </w:r>
          <w:r w:rsidRPr="005017F4">
            <w:rPr>
              <w:rFonts w:ascii="Calibri" w:hAnsi="Calibri" w:cs="Calibri"/>
              <w:color w:val="282828"/>
            </w:rPr>
            <w:t xml:space="preserve">rograms are open and </w:t>
          </w:r>
          <w:r w:rsidRPr="005017F4">
            <w:rPr>
              <w:rFonts w:ascii="Calibri" w:hAnsi="Calibri" w:cs="Calibri"/>
              <w:color w:val="3B3B3B"/>
            </w:rPr>
            <w:t xml:space="preserve">available </w:t>
          </w:r>
          <w:r w:rsidRPr="005017F4">
            <w:rPr>
              <w:rFonts w:ascii="Calibri" w:hAnsi="Calibri" w:cs="Calibri"/>
              <w:color w:val="282828"/>
            </w:rPr>
            <w:t>to all participant</w:t>
          </w:r>
          <w:r w:rsidRPr="005017F4">
            <w:rPr>
              <w:rFonts w:ascii="Calibri" w:hAnsi="Calibri" w:cs="Calibri"/>
              <w:color w:val="525252"/>
            </w:rPr>
            <w:t xml:space="preserve">s </w:t>
          </w:r>
          <w:r w:rsidRPr="005017F4">
            <w:rPr>
              <w:rFonts w:ascii="Calibri" w:hAnsi="Calibri" w:cs="Calibri"/>
              <w:color w:val="3B3B3B"/>
            </w:rPr>
            <w:t xml:space="preserve">regardless of their country of origin. </w:t>
          </w:r>
        </w:p>
        <w:p w14:paraId="5F03974C" w14:textId="77777777" w:rsidR="00CD1007" w:rsidRPr="005017F4" w:rsidRDefault="00CD1007" w:rsidP="00CD1007">
          <w:pPr>
            <w:autoSpaceDE w:val="0"/>
            <w:autoSpaceDN w:val="0"/>
            <w:adjustRightInd w:val="0"/>
            <w:spacing w:after="316" w:line="240" w:lineRule="auto"/>
            <w:rPr>
              <w:rFonts w:ascii="Calibri" w:hAnsi="Calibri" w:cs="Calibri"/>
              <w:color w:val="3B3B3B"/>
            </w:rPr>
          </w:pPr>
          <w:r w:rsidRPr="005017F4">
            <w:rPr>
              <w:rFonts w:ascii="Calibri" w:hAnsi="Calibri" w:cs="Calibri"/>
              <w:color w:val="282828"/>
            </w:rPr>
            <w:t xml:space="preserve">4. Color. Programs are </w:t>
          </w:r>
          <w:r w:rsidRPr="005017F4">
            <w:rPr>
              <w:rFonts w:ascii="Calibri" w:hAnsi="Calibri" w:cs="Calibri"/>
              <w:color w:val="3B3B3B"/>
            </w:rPr>
            <w:t xml:space="preserve">open and available to all </w:t>
          </w:r>
          <w:r w:rsidRPr="005017F4">
            <w:rPr>
              <w:rFonts w:ascii="Calibri" w:hAnsi="Calibri" w:cs="Calibri"/>
              <w:color w:val="282828"/>
            </w:rPr>
            <w:t>participants r</w:t>
          </w:r>
          <w:r w:rsidRPr="005017F4">
            <w:rPr>
              <w:rFonts w:ascii="Calibri" w:hAnsi="Calibri" w:cs="Calibri"/>
              <w:color w:val="525252"/>
            </w:rPr>
            <w:t>egard</w:t>
          </w:r>
          <w:r w:rsidRPr="005017F4">
            <w:rPr>
              <w:rFonts w:ascii="Calibri" w:hAnsi="Calibri" w:cs="Calibri"/>
              <w:color w:val="282828"/>
            </w:rPr>
            <w:t>le</w:t>
          </w:r>
          <w:r w:rsidRPr="005017F4">
            <w:rPr>
              <w:rFonts w:ascii="Calibri" w:hAnsi="Calibri" w:cs="Calibri"/>
              <w:color w:val="525252"/>
            </w:rPr>
            <w:t xml:space="preserve">ss </w:t>
          </w:r>
          <w:r w:rsidRPr="005017F4">
            <w:rPr>
              <w:rFonts w:ascii="Calibri" w:hAnsi="Calibri" w:cs="Calibri"/>
              <w:color w:val="3B3B3B"/>
            </w:rPr>
            <w:t xml:space="preserve">of their </w:t>
          </w:r>
          <w:r w:rsidRPr="005017F4">
            <w:rPr>
              <w:rFonts w:ascii="Calibri" w:hAnsi="Calibri" w:cs="Calibri"/>
              <w:color w:val="525252"/>
            </w:rPr>
            <w:t xml:space="preserve">skin </w:t>
          </w:r>
          <w:r w:rsidRPr="005017F4">
            <w:rPr>
              <w:rFonts w:ascii="Calibri" w:hAnsi="Calibri" w:cs="Calibri"/>
              <w:color w:val="3B3B3B"/>
            </w:rPr>
            <w:t xml:space="preserve">color. </w:t>
          </w:r>
        </w:p>
        <w:p w14:paraId="27D031A0" w14:textId="18ED0ED0" w:rsidR="00CD1007" w:rsidRPr="005017F4" w:rsidRDefault="00CD1007" w:rsidP="00CD1007">
          <w:pPr>
            <w:autoSpaceDE w:val="0"/>
            <w:autoSpaceDN w:val="0"/>
            <w:adjustRightInd w:val="0"/>
            <w:spacing w:after="316" w:line="240" w:lineRule="auto"/>
            <w:rPr>
              <w:rFonts w:ascii="Calibri" w:hAnsi="Calibri" w:cs="Calibri"/>
              <w:color w:val="525252"/>
            </w:rPr>
          </w:pPr>
          <w:r w:rsidRPr="005017F4">
            <w:rPr>
              <w:rFonts w:ascii="Calibri" w:hAnsi="Calibri" w:cs="Calibri"/>
              <w:color w:val="282828"/>
            </w:rPr>
            <w:t xml:space="preserve">5. Disability. </w:t>
          </w:r>
          <w:r w:rsidR="008C0BC1" w:rsidRPr="005017F4">
            <w:rPr>
              <w:rFonts w:ascii="Calibri" w:hAnsi="Calibri" w:cs="Calibri"/>
              <w:color w:val="282828"/>
            </w:rPr>
            <w:t>All p</w:t>
          </w:r>
          <w:r w:rsidRPr="005017F4">
            <w:rPr>
              <w:rFonts w:ascii="Calibri" w:hAnsi="Calibri" w:cs="Calibri"/>
              <w:color w:val="282828"/>
            </w:rPr>
            <w:t xml:space="preserve">rograms are </w:t>
          </w:r>
          <w:r w:rsidRPr="005017F4">
            <w:rPr>
              <w:rFonts w:ascii="Calibri" w:hAnsi="Calibri" w:cs="Calibri"/>
              <w:color w:val="3B3B3B"/>
            </w:rPr>
            <w:t xml:space="preserve">open and </w:t>
          </w:r>
          <w:r w:rsidRPr="005017F4">
            <w:rPr>
              <w:rFonts w:ascii="Calibri" w:hAnsi="Calibri" w:cs="Calibri"/>
              <w:color w:val="282828"/>
            </w:rPr>
            <w:t xml:space="preserve">available to </w:t>
          </w:r>
          <w:r w:rsidRPr="005017F4">
            <w:rPr>
              <w:rFonts w:ascii="Calibri" w:hAnsi="Calibri" w:cs="Calibri"/>
              <w:color w:val="3B3B3B"/>
            </w:rPr>
            <w:t xml:space="preserve">all </w:t>
          </w:r>
          <w:r w:rsidRPr="005017F4">
            <w:rPr>
              <w:rFonts w:ascii="Calibri" w:hAnsi="Calibri" w:cs="Calibri"/>
              <w:color w:val="282828"/>
            </w:rPr>
            <w:t>participants</w:t>
          </w:r>
          <w:r w:rsidRPr="005017F4">
            <w:rPr>
              <w:rFonts w:ascii="Calibri" w:hAnsi="Calibri" w:cs="Calibri"/>
              <w:color w:val="696969"/>
            </w:rPr>
            <w:t xml:space="preserve">, </w:t>
          </w:r>
          <w:r w:rsidRPr="005017F4">
            <w:rPr>
              <w:rFonts w:ascii="Calibri" w:hAnsi="Calibri" w:cs="Calibri"/>
              <w:color w:val="525252"/>
            </w:rPr>
            <w:t>regard</w:t>
          </w:r>
          <w:r w:rsidRPr="005017F4">
            <w:rPr>
              <w:rFonts w:ascii="Calibri" w:hAnsi="Calibri" w:cs="Calibri"/>
              <w:color w:val="282828"/>
            </w:rPr>
            <w:t xml:space="preserve">less </w:t>
          </w:r>
          <w:r w:rsidRPr="005017F4">
            <w:rPr>
              <w:rFonts w:ascii="Calibri" w:hAnsi="Calibri" w:cs="Calibri"/>
              <w:color w:val="3B3B3B"/>
            </w:rPr>
            <w:t xml:space="preserve">of </w:t>
          </w:r>
          <w:r w:rsidRPr="005017F4">
            <w:rPr>
              <w:rFonts w:ascii="Calibri" w:hAnsi="Calibri" w:cs="Calibri"/>
              <w:color w:val="282828"/>
            </w:rPr>
            <w:t>disabilitie</w:t>
          </w:r>
          <w:r w:rsidRPr="005017F4">
            <w:rPr>
              <w:rFonts w:ascii="Calibri" w:hAnsi="Calibri" w:cs="Calibri"/>
              <w:color w:val="525252"/>
            </w:rPr>
            <w:t xml:space="preserve">s. </w:t>
          </w:r>
          <w:r w:rsidRPr="005017F4">
            <w:rPr>
              <w:rFonts w:ascii="Calibri" w:hAnsi="Calibri" w:cs="Calibri"/>
              <w:color w:val="282828"/>
            </w:rPr>
            <w:t xml:space="preserve">Project materials </w:t>
          </w:r>
          <w:r w:rsidR="00F10EB3" w:rsidRPr="005017F4">
            <w:rPr>
              <w:rFonts w:ascii="Calibri" w:hAnsi="Calibri" w:cs="Calibri"/>
              <w:color w:val="3B3B3B"/>
            </w:rPr>
            <w:t>are</w:t>
          </w:r>
          <w:r w:rsidRPr="005017F4">
            <w:rPr>
              <w:rFonts w:ascii="Calibri" w:hAnsi="Calibri" w:cs="Calibri"/>
              <w:color w:val="282828"/>
            </w:rPr>
            <w:t xml:space="preserve"> </w:t>
          </w:r>
          <w:r w:rsidRPr="005017F4">
            <w:rPr>
              <w:rFonts w:ascii="Calibri" w:hAnsi="Calibri" w:cs="Calibri"/>
              <w:color w:val="3B3B3B"/>
            </w:rPr>
            <w:t xml:space="preserve">available </w:t>
          </w:r>
          <w:r w:rsidRPr="005017F4">
            <w:rPr>
              <w:rFonts w:ascii="Calibri" w:hAnsi="Calibri" w:cs="Calibri"/>
              <w:color w:val="282828"/>
            </w:rPr>
            <w:t xml:space="preserve">on digital recordings for </w:t>
          </w:r>
          <w:r w:rsidR="00F10EB3" w:rsidRPr="005017F4">
            <w:rPr>
              <w:rFonts w:ascii="Calibri" w:hAnsi="Calibri" w:cs="Calibri"/>
              <w:color w:val="282828"/>
            </w:rPr>
            <w:t xml:space="preserve">students and staff </w:t>
          </w:r>
          <w:r w:rsidRPr="005017F4">
            <w:rPr>
              <w:rFonts w:ascii="Calibri" w:hAnsi="Calibri" w:cs="Calibri"/>
              <w:color w:val="282828"/>
            </w:rPr>
            <w:t xml:space="preserve">with </w:t>
          </w:r>
          <w:r w:rsidR="00F10EB3" w:rsidRPr="005017F4">
            <w:rPr>
              <w:rFonts w:ascii="Calibri" w:hAnsi="Calibri" w:cs="Calibri"/>
              <w:color w:val="282828"/>
            </w:rPr>
            <w:t xml:space="preserve">qualifying </w:t>
          </w:r>
          <w:r w:rsidRPr="005017F4">
            <w:rPr>
              <w:rFonts w:ascii="Calibri" w:hAnsi="Calibri" w:cs="Calibri"/>
              <w:color w:val="525252"/>
            </w:rPr>
            <w:t>spec</w:t>
          </w:r>
          <w:r w:rsidRPr="005017F4">
            <w:rPr>
              <w:rFonts w:ascii="Calibri" w:hAnsi="Calibri" w:cs="Calibri"/>
              <w:color w:val="282828"/>
            </w:rPr>
            <w:t xml:space="preserve">ial needs. </w:t>
          </w:r>
          <w:r w:rsidR="00F10EB3" w:rsidRPr="005017F4">
            <w:rPr>
              <w:color w:val="1F497D"/>
              <w:spacing w:val="-1"/>
            </w:rPr>
            <w:t xml:space="preserve">Alaska complies voluntarily with the participation in National Instructional Materials Access Standards/Center (NIMAS/NIMAC). </w:t>
          </w:r>
          <w:r w:rsidRPr="005017F4">
            <w:rPr>
              <w:rFonts w:ascii="Calibri" w:hAnsi="Calibri" w:cs="Calibri"/>
              <w:color w:val="282828"/>
            </w:rPr>
            <w:t xml:space="preserve">Participants </w:t>
          </w:r>
          <w:r w:rsidR="00F10EB3" w:rsidRPr="005017F4">
            <w:rPr>
              <w:rFonts w:ascii="Calibri" w:hAnsi="Calibri" w:cs="Calibri"/>
              <w:color w:val="282828"/>
            </w:rPr>
            <w:t>identified as having</w:t>
          </w:r>
          <w:r w:rsidRPr="005017F4">
            <w:rPr>
              <w:rFonts w:ascii="Calibri" w:hAnsi="Calibri" w:cs="Calibri"/>
              <w:color w:val="282828"/>
            </w:rPr>
            <w:t xml:space="preserve"> </w:t>
          </w:r>
          <w:r w:rsidRPr="005017F4">
            <w:rPr>
              <w:rFonts w:ascii="Calibri" w:hAnsi="Calibri" w:cs="Calibri"/>
              <w:color w:val="3B3B3B"/>
            </w:rPr>
            <w:t xml:space="preserve">special </w:t>
          </w:r>
          <w:r w:rsidRPr="005017F4">
            <w:rPr>
              <w:rFonts w:ascii="Calibri" w:hAnsi="Calibri" w:cs="Calibri"/>
              <w:color w:val="282828"/>
            </w:rPr>
            <w:t xml:space="preserve">needs </w:t>
          </w:r>
          <w:r w:rsidRPr="005017F4">
            <w:rPr>
              <w:rFonts w:ascii="Calibri" w:hAnsi="Calibri" w:cs="Calibri"/>
              <w:color w:val="3B3B3B"/>
            </w:rPr>
            <w:t xml:space="preserve">will </w:t>
          </w:r>
          <w:r w:rsidRPr="005017F4">
            <w:rPr>
              <w:rFonts w:ascii="Calibri" w:hAnsi="Calibri" w:cs="Calibri"/>
              <w:color w:val="282828"/>
            </w:rPr>
            <w:t xml:space="preserve">receive </w:t>
          </w:r>
          <w:r w:rsidR="008C0BC1" w:rsidRPr="005017F4">
            <w:rPr>
              <w:color w:val="1F497D"/>
              <w:spacing w:val="-2"/>
            </w:rPr>
            <w:t xml:space="preserve">special education and related services in accordance with </w:t>
          </w:r>
          <w:r w:rsidR="008C0BC1" w:rsidRPr="005017F4">
            <w:rPr>
              <w:color w:val="232323"/>
              <w:spacing w:val="-1"/>
            </w:rPr>
            <w:t>the</w:t>
          </w:r>
          <w:r w:rsidR="008C0BC1" w:rsidRPr="005017F4">
            <w:rPr>
              <w:color w:val="232323"/>
              <w:spacing w:val="57"/>
            </w:rPr>
            <w:t xml:space="preserve"> </w:t>
          </w:r>
          <w:r w:rsidR="008C0BC1" w:rsidRPr="005017F4">
            <w:rPr>
              <w:color w:val="1F497D"/>
              <w:spacing w:val="-1"/>
            </w:rPr>
            <w:t>Individuals with Disabilities Education Act (IDEA) and state and federal laws.</w:t>
          </w:r>
          <w:r w:rsidRPr="005017F4">
            <w:rPr>
              <w:rFonts w:ascii="Calibri" w:hAnsi="Calibri" w:cs="Calibri"/>
              <w:color w:val="3B3B3B"/>
            </w:rPr>
            <w:t xml:space="preserve"> Participants with </w:t>
          </w:r>
          <w:r w:rsidRPr="005017F4">
            <w:rPr>
              <w:rFonts w:ascii="Calibri" w:hAnsi="Calibri" w:cs="Calibri"/>
              <w:color w:val="282828"/>
            </w:rPr>
            <w:t xml:space="preserve">physical handicaps </w:t>
          </w:r>
          <w:r w:rsidRPr="005017F4">
            <w:rPr>
              <w:rFonts w:ascii="Calibri" w:hAnsi="Calibri" w:cs="Calibri"/>
              <w:color w:val="3B3B3B"/>
            </w:rPr>
            <w:t xml:space="preserve">are provided access to </w:t>
          </w:r>
          <w:r w:rsidRPr="005017F4">
            <w:rPr>
              <w:rFonts w:ascii="Calibri" w:hAnsi="Calibri" w:cs="Calibri"/>
              <w:color w:val="282828"/>
            </w:rPr>
            <w:t xml:space="preserve">facilities in </w:t>
          </w:r>
          <w:r w:rsidRPr="005017F4">
            <w:rPr>
              <w:rFonts w:ascii="Calibri" w:hAnsi="Calibri" w:cs="Calibri"/>
              <w:color w:val="3B3B3B"/>
            </w:rPr>
            <w:t xml:space="preserve">compliance with </w:t>
          </w:r>
          <w:r w:rsidR="008C0BC1" w:rsidRPr="005017F4">
            <w:rPr>
              <w:rFonts w:ascii="Calibri" w:hAnsi="Calibri" w:cs="Calibri"/>
              <w:color w:val="3B3B3B"/>
            </w:rPr>
            <w:t xml:space="preserve">Section 504, the Americans with Disabilities Act (ADA) and </w:t>
          </w:r>
          <w:r w:rsidRPr="005017F4">
            <w:rPr>
              <w:rFonts w:ascii="Calibri" w:hAnsi="Calibri" w:cs="Calibri"/>
              <w:color w:val="282828"/>
            </w:rPr>
            <w:t xml:space="preserve">federal and </w:t>
          </w:r>
          <w:r w:rsidRPr="005017F4">
            <w:rPr>
              <w:rFonts w:ascii="Calibri" w:hAnsi="Calibri" w:cs="Calibri"/>
              <w:color w:val="3B3B3B"/>
            </w:rPr>
            <w:t xml:space="preserve">state </w:t>
          </w:r>
          <w:r w:rsidRPr="005017F4">
            <w:rPr>
              <w:rFonts w:ascii="Calibri" w:hAnsi="Calibri" w:cs="Calibri"/>
              <w:color w:val="282828"/>
            </w:rPr>
            <w:t>law</w:t>
          </w:r>
          <w:r w:rsidRPr="005017F4">
            <w:rPr>
              <w:rFonts w:ascii="Calibri" w:hAnsi="Calibri" w:cs="Calibri"/>
              <w:color w:val="525252"/>
            </w:rPr>
            <w:t xml:space="preserve">s. </w:t>
          </w:r>
        </w:p>
        <w:p w14:paraId="790C99FE" w14:textId="209C25D8" w:rsidR="00CD1007" w:rsidRPr="005017F4" w:rsidRDefault="00CD1007" w:rsidP="00CD1007">
          <w:pPr>
            <w:autoSpaceDE w:val="0"/>
            <w:autoSpaceDN w:val="0"/>
            <w:adjustRightInd w:val="0"/>
            <w:spacing w:after="0" w:line="240" w:lineRule="auto"/>
            <w:rPr>
              <w:rFonts w:ascii="Calibri" w:hAnsi="Calibri" w:cs="Calibri"/>
              <w:color w:val="3B3B3B"/>
            </w:rPr>
          </w:pPr>
          <w:r w:rsidRPr="005017F4">
            <w:rPr>
              <w:rFonts w:ascii="Calibri" w:hAnsi="Calibri" w:cs="Calibri"/>
              <w:color w:val="282828"/>
            </w:rPr>
            <w:t xml:space="preserve">6. Age. Programs are open </w:t>
          </w:r>
          <w:r w:rsidRPr="005017F4">
            <w:rPr>
              <w:rFonts w:ascii="Calibri" w:hAnsi="Calibri" w:cs="Calibri"/>
              <w:color w:val="3B3B3B"/>
            </w:rPr>
            <w:t xml:space="preserve">and available </w:t>
          </w:r>
          <w:r w:rsidRPr="005017F4">
            <w:rPr>
              <w:rFonts w:ascii="Calibri" w:hAnsi="Calibri" w:cs="Calibri"/>
              <w:color w:val="282828"/>
            </w:rPr>
            <w:t xml:space="preserve">to </w:t>
          </w:r>
          <w:r w:rsidRPr="005017F4">
            <w:rPr>
              <w:rFonts w:ascii="Calibri" w:hAnsi="Calibri" w:cs="Calibri"/>
              <w:color w:val="3B3B3B"/>
            </w:rPr>
            <w:t xml:space="preserve">all participants </w:t>
          </w:r>
          <w:r w:rsidRPr="005017F4">
            <w:rPr>
              <w:rFonts w:ascii="Calibri" w:hAnsi="Calibri" w:cs="Calibri"/>
              <w:color w:val="282828"/>
            </w:rPr>
            <w:t xml:space="preserve">regardless </w:t>
          </w:r>
          <w:r w:rsidRPr="005017F4">
            <w:rPr>
              <w:rFonts w:ascii="Calibri" w:hAnsi="Calibri" w:cs="Calibri"/>
              <w:color w:val="3B3B3B"/>
            </w:rPr>
            <w:t xml:space="preserve">of </w:t>
          </w:r>
          <w:r w:rsidRPr="005017F4">
            <w:rPr>
              <w:rFonts w:ascii="Calibri" w:hAnsi="Calibri" w:cs="Calibri"/>
              <w:color w:val="282828"/>
            </w:rPr>
            <w:t xml:space="preserve">their </w:t>
          </w:r>
          <w:r w:rsidRPr="005017F4">
            <w:rPr>
              <w:rFonts w:ascii="Calibri" w:hAnsi="Calibri" w:cs="Calibri"/>
              <w:color w:val="3B3B3B"/>
            </w:rPr>
            <w:t>age</w:t>
          </w:r>
          <w:r w:rsidR="008C0BC1" w:rsidRPr="005017F4">
            <w:rPr>
              <w:rFonts w:ascii="Calibri" w:hAnsi="Calibri" w:cs="Calibri"/>
              <w:color w:val="3B3B3B"/>
            </w:rPr>
            <w:t xml:space="preserve">, </w:t>
          </w:r>
          <w:r w:rsidR="008C0BC1" w:rsidRPr="005017F4">
            <w:rPr>
              <w:color w:val="1F497D"/>
              <w:spacing w:val="-1"/>
            </w:rPr>
            <w:t>as provided for under state and federal regulations</w:t>
          </w:r>
          <w:r w:rsidRPr="005017F4">
            <w:rPr>
              <w:rFonts w:ascii="Calibri" w:hAnsi="Calibri" w:cs="Calibri"/>
              <w:color w:val="3B3B3B"/>
            </w:rPr>
            <w:t xml:space="preserve">. </w:t>
          </w:r>
        </w:p>
        <w:p w14:paraId="5120B28C" w14:textId="119D2C5D" w:rsidR="00CD1007" w:rsidRDefault="00A12A18" w:rsidP="00CD100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b/>
            </w:rPr>
          </w:pPr>
        </w:p>
      </w:sdtContent>
    </w:sdt>
    <w:p w14:paraId="119FE6C9" w14:textId="5803B9C3" w:rsidR="00FC293A" w:rsidRPr="00DB6A32" w:rsidRDefault="008C0BC1" w:rsidP="005017F4">
      <w:r w:rsidRPr="00D84681">
        <w:t xml:space="preserve">The </w:t>
      </w:r>
      <w:r>
        <w:t xml:space="preserve">Alaska Department of Education and Early Development (DEED) will ensure that districts sign an assurance upon application for ESEA Consolidated Grants that they will provide </w:t>
      </w:r>
      <w:r w:rsidRPr="00D84681">
        <w:t xml:space="preserve">equitable access and participation for students, teachers and program beneficiaries with special needs to educational programs and opportunities included in </w:t>
      </w:r>
      <w:r>
        <w:t>Alaska’s consolidated s</w:t>
      </w:r>
      <w:r w:rsidRPr="00D84681">
        <w:t>tate plan</w:t>
      </w:r>
      <w:r>
        <w:t xml:space="preserve">. DEED will also provide information regarding these requirements in the Application Handbook and will provide technical assistance, in collaboration with the DEED Special Education staff and stakeholder groups, to develop </w:t>
      </w:r>
      <w:r w:rsidRPr="00D84681">
        <w:t>strategies that address barriers unique to programs</w:t>
      </w:r>
      <w:r>
        <w:t xml:space="preserve"> the during technical assistance.</w:t>
      </w:r>
    </w:p>
    <w:sectPr w:rsidR="00FC293A" w:rsidRPr="00DB6A32" w:rsidSect="005017F4">
      <w:headerReference w:type="default" r:id="rId7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385E3" w14:textId="77777777" w:rsidR="00A12A18" w:rsidRDefault="00A12A18">
      <w:pPr>
        <w:spacing w:after="0" w:line="240" w:lineRule="auto"/>
      </w:pPr>
      <w:r>
        <w:separator/>
      </w:r>
    </w:p>
  </w:endnote>
  <w:endnote w:type="continuationSeparator" w:id="0">
    <w:p w14:paraId="3CEA2E6A" w14:textId="77777777" w:rsidR="00A12A18" w:rsidRDefault="00A1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CBB4" w14:textId="53105EFA" w:rsidR="00080D72" w:rsidRPr="009838D3" w:rsidRDefault="00080D72" w:rsidP="009838D3">
    <w:pPr>
      <w:pStyle w:val="Footer"/>
      <w:jc w:val="right"/>
    </w:pPr>
    <w:r>
      <w:t>Alaska Department of Education and Early Development</w:t>
    </w:r>
    <w:r>
      <w:tab/>
    </w:r>
    <w:sdt>
      <w:sdtPr>
        <w:id w:val="1759714872"/>
        <w:docPartObj>
          <w:docPartGallery w:val="Page Numbers (Bottom of Page)"/>
          <w:docPartUnique/>
        </w:docPartObj>
      </w:sdtPr>
      <w:sdtEndPr>
        <w:rPr>
          <w:rFonts w:ascii="Times New Roman" w:hAnsi="Times New Roman" w:cs="Times New Roman"/>
          <w:noProof/>
          <w:sz w:val="20"/>
          <w:szCs w:val="16"/>
        </w:rPr>
      </w:sdtEndPr>
      <w:sdtContent>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ii</w:t>
        </w:r>
        <w:r>
          <w:rPr>
            <w:rFonts w:cs="Times New Roman"/>
          </w:rPr>
          <w:fldChar w:fldCharType="end"/>
        </w:r>
      </w:sdtContent>
    </w:sdt>
  </w:p>
  <w:p w14:paraId="0EE472C3" w14:textId="114E396D" w:rsidR="00080D72" w:rsidRDefault="00080D72" w:rsidP="009838D3">
    <w:pPr>
      <w:pStyle w:val="Footer"/>
      <w:jc w:val="right"/>
    </w:pPr>
    <w:r>
      <w:t>September 18, 2017 Submitted State Plan</w:t>
    </w:r>
    <w:bookmarkStart w:id="0" w:name="_GoBack"/>
    <w:r>
      <w:t xml:space="preserve"> </w:t>
    </w:r>
    <w:r>
      <w:tab/>
    </w:r>
    <w:r>
      <w:tab/>
    </w:r>
  </w:p>
  <w:bookmarkEnd w:id="0"/>
  <w:p w14:paraId="6D13696B" w14:textId="77777777" w:rsidR="00080D72" w:rsidRPr="009838D3" w:rsidRDefault="00080D72" w:rsidP="00983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4942" w14:textId="77777777" w:rsidR="00080D72" w:rsidRDefault="00080D72" w:rsidP="00473B27">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50A41BE8" w14:textId="77777777" w:rsidR="00080D72" w:rsidRDefault="00080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01E9" w14:textId="1A512156" w:rsidR="00080D72" w:rsidRDefault="00080D72" w:rsidP="009838D3">
    <w:pPr>
      <w:pStyle w:val="Footer"/>
      <w:jc w:val="right"/>
    </w:pPr>
    <w:r>
      <w:tab/>
    </w:r>
  </w:p>
  <w:p w14:paraId="3EFA1053" w14:textId="77777777" w:rsidR="00080D72" w:rsidRPr="009838D3" w:rsidRDefault="00080D72" w:rsidP="00983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302F" w14:textId="30377266" w:rsidR="00080D72" w:rsidRPr="009838D3" w:rsidRDefault="00080D72" w:rsidP="009838D3">
    <w:pPr>
      <w:pStyle w:val="Footer"/>
      <w:jc w:val="right"/>
    </w:pPr>
    <w:r>
      <w:t>Alaska Department of Education and Early Development</w:t>
    </w:r>
    <w:r>
      <w:tab/>
    </w:r>
    <w:sdt>
      <w:sdtPr>
        <w:id w:val="-850104966"/>
        <w:docPartObj>
          <w:docPartGallery w:val="Page Numbers (Bottom of Page)"/>
          <w:docPartUnique/>
        </w:docPartObj>
      </w:sdtPr>
      <w:sdtEndPr>
        <w:rPr>
          <w:rFonts w:ascii="Times New Roman" w:hAnsi="Times New Roman" w:cs="Times New Roman"/>
          <w:noProof/>
          <w:sz w:val="20"/>
          <w:szCs w:val="16"/>
        </w:rPr>
      </w:sdtEndPr>
      <w:sdtContent>
        <w:r>
          <w:rPr>
            <w:rFonts w:cs="Times New Roman"/>
          </w:rPr>
          <w:fldChar w:fldCharType="begin"/>
        </w:r>
        <w:r>
          <w:rPr>
            <w:rFonts w:cs="Times New Roman"/>
          </w:rPr>
          <w:instrText xml:space="preserve"> PAGE   \* MERGEFORMAT </w:instrText>
        </w:r>
        <w:r>
          <w:rPr>
            <w:rFonts w:cs="Times New Roman"/>
          </w:rPr>
          <w:fldChar w:fldCharType="separate"/>
        </w:r>
        <w:r w:rsidR="000B3BD9">
          <w:rPr>
            <w:rFonts w:cs="Times New Roman"/>
            <w:noProof/>
          </w:rPr>
          <w:t>18</w:t>
        </w:r>
        <w:r>
          <w:rPr>
            <w:rFonts w:cs="Times New Roman"/>
          </w:rPr>
          <w:fldChar w:fldCharType="end"/>
        </w:r>
      </w:sdtContent>
    </w:sdt>
  </w:p>
  <w:p w14:paraId="116F4508" w14:textId="249C6317" w:rsidR="00080D72" w:rsidRDefault="00080D72" w:rsidP="00F60809">
    <w:pPr>
      <w:pStyle w:val="Footer"/>
    </w:pPr>
    <w:r>
      <w:t>May 8, 2018 Final State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BCA6E" w14:textId="77777777" w:rsidR="00A12A18" w:rsidRDefault="00A12A18">
      <w:pPr>
        <w:spacing w:after="0" w:line="240" w:lineRule="auto"/>
      </w:pPr>
      <w:r>
        <w:separator/>
      </w:r>
    </w:p>
  </w:footnote>
  <w:footnote w:type="continuationSeparator" w:id="0">
    <w:p w14:paraId="0219A6C6" w14:textId="77777777" w:rsidR="00A12A18" w:rsidRDefault="00A12A18">
      <w:pPr>
        <w:spacing w:after="0" w:line="240" w:lineRule="auto"/>
      </w:pPr>
      <w:r>
        <w:continuationSeparator/>
      </w:r>
    </w:p>
  </w:footnote>
  <w:footnote w:id="1">
    <w:p w14:paraId="564E48D2" w14:textId="77777777" w:rsidR="00080D72" w:rsidRPr="00822B9D" w:rsidRDefault="00080D72" w:rsidP="00C311DA">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2">
    <w:p w14:paraId="1DA7262E" w14:textId="77777777" w:rsidR="00080D72" w:rsidRDefault="00080D72" w:rsidP="008F5E07">
      <w:pPr>
        <w:pStyle w:val="FootnoteText"/>
      </w:pPr>
      <w:r>
        <w:rPr>
          <w:rStyle w:val="FootnoteReference"/>
        </w:rPr>
        <w:footnoteRef/>
      </w:r>
      <w:r>
        <w:t xml:space="preserve"> </w:t>
      </w:r>
      <w:r w:rsidRPr="00DF724A">
        <w:t>Full academic year is defined as continuous enrollment between October 1 and the first day of the general assessment window.</w:t>
      </w:r>
    </w:p>
  </w:footnote>
  <w:footnote w:id="3">
    <w:p w14:paraId="4920E768" w14:textId="77777777" w:rsidR="00080D72" w:rsidRDefault="00080D72" w:rsidP="002F298D">
      <w:pPr>
        <w:pStyle w:val="FootnoteText"/>
      </w:pPr>
      <w:r>
        <w:rPr>
          <w:rStyle w:val="FootnoteReference"/>
        </w:rPr>
        <w:footnoteRef/>
      </w:r>
      <w:r>
        <w:t xml:space="preserve"> A valid score is one in which a student receives a scale score and an achievement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99AB" w14:textId="77777777" w:rsidR="00080D72" w:rsidRPr="009E5E62" w:rsidRDefault="00080D72" w:rsidP="009E5E62">
    <w:pPr>
      <w:rPr>
        <w:rFonts w:asciiTheme="majorHAnsi" w:eastAsiaTheme="majorEastAsia" w:hAnsiTheme="majorHAnsi" w:cstheme="majorBidi"/>
        <w:color w:val="2E74B5" w:themeColor="accent1" w:themeShade="BF"/>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4ED1" w14:textId="14EF504F" w:rsidR="00080D72" w:rsidRDefault="0008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84EA" w14:textId="5B1FEF39" w:rsidR="00080D72" w:rsidRPr="005017F4" w:rsidRDefault="00080D72" w:rsidP="00501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0BF7" w14:textId="31C61066" w:rsidR="00080D72" w:rsidRPr="009E5E62" w:rsidRDefault="00080D72" w:rsidP="00E672B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FD0"/>
    <w:multiLevelType w:val="hybridMultilevel"/>
    <w:tmpl w:val="BA6A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0217"/>
    <w:multiLevelType w:val="hybridMultilevel"/>
    <w:tmpl w:val="9E525B6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2787013"/>
    <w:multiLevelType w:val="hybridMultilevel"/>
    <w:tmpl w:val="DE24A514"/>
    <w:lvl w:ilvl="0" w:tplc="BCA6A8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E7344"/>
    <w:multiLevelType w:val="hybridMultilevel"/>
    <w:tmpl w:val="9ACAA8CA"/>
    <w:lvl w:ilvl="0" w:tplc="D024788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81BD3"/>
    <w:multiLevelType w:val="hybridMultilevel"/>
    <w:tmpl w:val="536CC57E"/>
    <w:lvl w:ilvl="0" w:tplc="39E224B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32C03"/>
    <w:multiLevelType w:val="hybridMultilevel"/>
    <w:tmpl w:val="63E6E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03915"/>
    <w:multiLevelType w:val="hybridMultilevel"/>
    <w:tmpl w:val="50A8C1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5A146E"/>
    <w:multiLevelType w:val="hybridMultilevel"/>
    <w:tmpl w:val="E15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41483"/>
    <w:multiLevelType w:val="hybridMultilevel"/>
    <w:tmpl w:val="D7D22F58"/>
    <w:lvl w:ilvl="0" w:tplc="04090001">
      <w:start w:val="1"/>
      <w:numFmt w:val="bullet"/>
      <w:lvlText w:val=""/>
      <w:lvlJc w:val="left"/>
      <w:pPr>
        <w:ind w:left="720" w:hanging="360"/>
      </w:pPr>
      <w:rPr>
        <w:rFonts w:ascii="Symbol" w:hAnsi="Symbol" w:hint="default"/>
      </w:rPr>
    </w:lvl>
    <w:lvl w:ilvl="1" w:tplc="ADD68F18">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D50414"/>
    <w:multiLevelType w:val="hybridMultilevel"/>
    <w:tmpl w:val="86C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7870C9"/>
    <w:multiLevelType w:val="hybridMultilevel"/>
    <w:tmpl w:val="350C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91F17"/>
    <w:multiLevelType w:val="hybridMultilevel"/>
    <w:tmpl w:val="B9B6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60448F"/>
    <w:multiLevelType w:val="hybridMultilevel"/>
    <w:tmpl w:val="C4F0A3A8"/>
    <w:lvl w:ilvl="0" w:tplc="D95A0CEE">
      <w:start w:val="7"/>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E7754"/>
    <w:multiLevelType w:val="hybridMultilevel"/>
    <w:tmpl w:val="37A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B3263"/>
    <w:multiLevelType w:val="hybridMultilevel"/>
    <w:tmpl w:val="C2722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C0B2E1A"/>
    <w:multiLevelType w:val="hybridMultilevel"/>
    <w:tmpl w:val="F43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0C46E5"/>
    <w:multiLevelType w:val="hybridMultilevel"/>
    <w:tmpl w:val="29644F3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720D31"/>
    <w:multiLevelType w:val="hybridMultilevel"/>
    <w:tmpl w:val="6874BF02"/>
    <w:lvl w:ilvl="0" w:tplc="0F76944A">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5B6789"/>
    <w:multiLevelType w:val="hybridMultilevel"/>
    <w:tmpl w:val="20C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4719EB"/>
    <w:multiLevelType w:val="hybridMultilevel"/>
    <w:tmpl w:val="175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A62EAB"/>
    <w:multiLevelType w:val="hybridMultilevel"/>
    <w:tmpl w:val="E3B6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37CAC"/>
    <w:multiLevelType w:val="hybridMultilevel"/>
    <w:tmpl w:val="EB56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C20E63"/>
    <w:multiLevelType w:val="hybridMultilevel"/>
    <w:tmpl w:val="6D2E1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7028DC"/>
    <w:multiLevelType w:val="hybridMultilevel"/>
    <w:tmpl w:val="643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BB2F54"/>
    <w:multiLevelType w:val="hybridMultilevel"/>
    <w:tmpl w:val="C61CCD4E"/>
    <w:lvl w:ilvl="0" w:tplc="42983434">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7521D9"/>
    <w:multiLevelType w:val="hybridMultilevel"/>
    <w:tmpl w:val="F5C89BA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97224F"/>
    <w:multiLevelType w:val="hybridMultilevel"/>
    <w:tmpl w:val="C48CC342"/>
    <w:lvl w:ilvl="0" w:tplc="B3626770">
      <w:start w:val="3"/>
      <w:numFmt w:val="lowerRoman"/>
      <w:lvlText w:val="%1."/>
      <w:lvlJc w:val="left"/>
      <w:pPr>
        <w:ind w:left="1440" w:hanging="720"/>
      </w:pPr>
      <w:rPr>
        <w:rFonts w:hint="default"/>
      </w:rPr>
    </w:lvl>
    <w:lvl w:ilvl="1" w:tplc="B3626770">
      <w:start w:val="3"/>
      <w:numFmt w:val="lowerRoman"/>
      <w:lvlText w:val="%2."/>
      <w:lvlJc w:val="left"/>
      <w:pPr>
        <w:ind w:left="540" w:hanging="360"/>
      </w:pPr>
      <w:rPr>
        <w:rFonts w:hint="default"/>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19D413AA"/>
    <w:multiLevelType w:val="hybridMultilevel"/>
    <w:tmpl w:val="381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FD6471"/>
    <w:multiLevelType w:val="hybridMultilevel"/>
    <w:tmpl w:val="222C533A"/>
    <w:lvl w:ilvl="0" w:tplc="0409001B">
      <w:start w:val="1"/>
      <w:numFmt w:val="lowerRoman"/>
      <w:lvlText w:val="%1."/>
      <w:lvlJc w:val="right"/>
      <w:pPr>
        <w:ind w:left="1080" w:hanging="360"/>
      </w:pPr>
    </w:lvl>
    <w:lvl w:ilvl="1" w:tplc="DF44B2C6">
      <w:start w:val="1"/>
      <w:numFmt w:val="lowerLetter"/>
      <w:lvlText w:val="%2."/>
      <w:lvlJc w:val="left"/>
      <w:pPr>
        <w:ind w:left="1800" w:hanging="360"/>
      </w:pPr>
      <w:rPr>
        <w:rFonts w:hint="default"/>
      </w:rPr>
    </w:lvl>
    <w:lvl w:ilvl="2" w:tplc="4030F770">
      <w:start w:val="1"/>
      <w:numFmt w:val="decimal"/>
      <w:lvlText w:val="%3."/>
      <w:lvlJc w:val="right"/>
      <w:pPr>
        <w:ind w:left="2520" w:hanging="180"/>
      </w:pPr>
      <w:rPr>
        <w:rFonts w:ascii="Calibri" w:eastAsiaTheme="minorHAnsi" w:hAnsi="Calibri" w:cs="Times New Roman"/>
        <w:b w:val="0"/>
      </w:rPr>
    </w:lvl>
    <w:lvl w:ilvl="3" w:tplc="C6009568">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112CF7"/>
    <w:multiLevelType w:val="hybridMultilevel"/>
    <w:tmpl w:val="896A4D14"/>
    <w:lvl w:ilvl="0" w:tplc="49C2FD2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30AA6AC2">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8E4865"/>
    <w:multiLevelType w:val="hybridMultilevel"/>
    <w:tmpl w:val="0BD6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464B6E"/>
    <w:multiLevelType w:val="hybridMultilevel"/>
    <w:tmpl w:val="E9B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F6300C"/>
    <w:multiLevelType w:val="hybridMultilevel"/>
    <w:tmpl w:val="B7446080"/>
    <w:lvl w:ilvl="0" w:tplc="2E84033C">
      <w:start w:val="1"/>
      <w:numFmt w:val="decimal"/>
      <w:lvlText w:val="%1."/>
      <w:lvlJc w:val="left"/>
      <w:pPr>
        <w:ind w:left="360" w:hanging="360"/>
      </w:pPr>
      <w:rPr>
        <w:b/>
      </w:rPr>
    </w:lvl>
    <w:lvl w:ilvl="1" w:tplc="1E643528">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9C7130"/>
    <w:multiLevelType w:val="hybridMultilevel"/>
    <w:tmpl w:val="BF4A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D16538"/>
    <w:multiLevelType w:val="hybridMultilevel"/>
    <w:tmpl w:val="A366124C"/>
    <w:lvl w:ilvl="0" w:tplc="69DEE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6F0AC7"/>
    <w:multiLevelType w:val="multilevel"/>
    <w:tmpl w:val="FE14D0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3402D7"/>
    <w:multiLevelType w:val="hybridMultilevel"/>
    <w:tmpl w:val="84F2ACD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8C41EE4"/>
    <w:multiLevelType w:val="hybridMultilevel"/>
    <w:tmpl w:val="E99EE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8A56D0"/>
    <w:multiLevelType w:val="hybridMultilevel"/>
    <w:tmpl w:val="510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21B25"/>
    <w:multiLevelType w:val="hybridMultilevel"/>
    <w:tmpl w:val="CA50D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C69676F"/>
    <w:multiLevelType w:val="hybridMultilevel"/>
    <w:tmpl w:val="B37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AE54C8"/>
    <w:multiLevelType w:val="hybridMultilevel"/>
    <w:tmpl w:val="A724B638"/>
    <w:lvl w:ilvl="0" w:tplc="97181920">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2045E3"/>
    <w:multiLevelType w:val="hybridMultilevel"/>
    <w:tmpl w:val="93CC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C04BE0"/>
    <w:multiLevelType w:val="hybridMultilevel"/>
    <w:tmpl w:val="6AFE2F4A"/>
    <w:lvl w:ilvl="0" w:tplc="595A26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274523A"/>
    <w:multiLevelType w:val="hybridMultilevel"/>
    <w:tmpl w:val="88DCF5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36D23B0"/>
    <w:multiLevelType w:val="hybridMultilevel"/>
    <w:tmpl w:val="8806A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3B96C06"/>
    <w:multiLevelType w:val="hybridMultilevel"/>
    <w:tmpl w:val="E79253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74026F"/>
    <w:multiLevelType w:val="hybridMultilevel"/>
    <w:tmpl w:val="655E4BB2"/>
    <w:lvl w:ilvl="0" w:tplc="24BCC23A">
      <w:start w:val="1"/>
      <w:numFmt w:val="decimal"/>
      <w:lvlText w:val="%1."/>
      <w:lvlJc w:val="left"/>
      <w:pPr>
        <w:ind w:left="360" w:hanging="360"/>
      </w:pPr>
      <w:rPr>
        <w:rFonts w:hint="default"/>
        <w:b/>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589057B"/>
    <w:multiLevelType w:val="hybridMultilevel"/>
    <w:tmpl w:val="E86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6B3A1A"/>
    <w:multiLevelType w:val="hybridMultilevel"/>
    <w:tmpl w:val="8D14E4F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2" w15:restartNumberingAfterBreak="0">
    <w:nsid w:val="38362E4F"/>
    <w:multiLevelType w:val="hybridMultilevel"/>
    <w:tmpl w:val="88D4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457CCC"/>
    <w:multiLevelType w:val="hybridMultilevel"/>
    <w:tmpl w:val="CF3C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AD4841"/>
    <w:multiLevelType w:val="hybridMultilevel"/>
    <w:tmpl w:val="68D05B68"/>
    <w:lvl w:ilvl="0" w:tplc="CCFA4E2C">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18476F"/>
    <w:multiLevelType w:val="hybridMultilevel"/>
    <w:tmpl w:val="876CC6BA"/>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6" w15:restartNumberingAfterBreak="0">
    <w:nsid w:val="3E730A4A"/>
    <w:multiLevelType w:val="hybridMultilevel"/>
    <w:tmpl w:val="D132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FC0820"/>
    <w:multiLevelType w:val="hybridMultilevel"/>
    <w:tmpl w:val="B16C2396"/>
    <w:lvl w:ilvl="0" w:tplc="EEDAEA64">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E13A35"/>
    <w:multiLevelType w:val="hybridMultilevel"/>
    <w:tmpl w:val="EFD07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1760A5"/>
    <w:multiLevelType w:val="hybridMultilevel"/>
    <w:tmpl w:val="B290EC50"/>
    <w:lvl w:ilvl="0" w:tplc="B25E70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5E2CCA"/>
    <w:multiLevelType w:val="hybridMultilevel"/>
    <w:tmpl w:val="FBDCD2A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2A2390"/>
    <w:multiLevelType w:val="hybridMultilevel"/>
    <w:tmpl w:val="51BE685A"/>
    <w:lvl w:ilvl="0" w:tplc="3716912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CD1226C"/>
    <w:multiLevelType w:val="hybridMultilevel"/>
    <w:tmpl w:val="A976B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E137EEC"/>
    <w:multiLevelType w:val="hybridMultilevel"/>
    <w:tmpl w:val="803601AA"/>
    <w:lvl w:ilvl="0" w:tplc="2E689B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E3F056F"/>
    <w:multiLevelType w:val="hybridMultilevel"/>
    <w:tmpl w:val="6B2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413D4D"/>
    <w:multiLevelType w:val="hybridMultilevel"/>
    <w:tmpl w:val="26F29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6D4B6D"/>
    <w:multiLevelType w:val="hybridMultilevel"/>
    <w:tmpl w:val="9E3284B6"/>
    <w:lvl w:ilvl="0" w:tplc="A75E3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9406E4"/>
    <w:multiLevelType w:val="hybridMultilevel"/>
    <w:tmpl w:val="2FF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D1AAF"/>
    <w:multiLevelType w:val="hybridMultilevel"/>
    <w:tmpl w:val="F726FFB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1F73A6D"/>
    <w:multiLevelType w:val="hybridMultilevel"/>
    <w:tmpl w:val="191A5C94"/>
    <w:lvl w:ilvl="0" w:tplc="22544716">
      <w:start w:val="1"/>
      <w:numFmt w:val="decimal"/>
      <w:lvlText w:val="%1."/>
      <w:lvlJc w:val="left"/>
      <w:pPr>
        <w:ind w:left="360" w:hanging="360"/>
      </w:pPr>
      <w:rPr>
        <w:b/>
      </w:rPr>
    </w:lvl>
    <w:lvl w:ilvl="1" w:tplc="E4A8A846">
      <w:start w:val="1"/>
      <w:numFmt w:val="lowerRoman"/>
      <w:lvlText w:val="%2."/>
      <w:lvlJc w:val="left"/>
      <w:pPr>
        <w:ind w:left="1080" w:hanging="360"/>
      </w:pPr>
      <w:rPr>
        <w:rFonts w:ascii="Calibri" w:eastAsiaTheme="minorHAnsi"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3E82889"/>
    <w:multiLevelType w:val="hybridMultilevel"/>
    <w:tmpl w:val="83A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FC35AF"/>
    <w:multiLevelType w:val="hybridMultilevel"/>
    <w:tmpl w:val="690EB528"/>
    <w:lvl w:ilvl="0" w:tplc="33BAC3B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5F014CB"/>
    <w:multiLevelType w:val="hybridMultilevel"/>
    <w:tmpl w:val="4F12B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9D7B13"/>
    <w:multiLevelType w:val="hybridMultilevel"/>
    <w:tmpl w:val="CC405472"/>
    <w:lvl w:ilvl="0" w:tplc="B98CAD24">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EF2E72"/>
    <w:multiLevelType w:val="hybridMultilevel"/>
    <w:tmpl w:val="67885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D26E03"/>
    <w:multiLevelType w:val="hybridMultilevel"/>
    <w:tmpl w:val="D988F1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416662"/>
    <w:multiLevelType w:val="hybridMultilevel"/>
    <w:tmpl w:val="2D2E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E03D14"/>
    <w:multiLevelType w:val="hybridMultilevel"/>
    <w:tmpl w:val="C446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314ED6"/>
    <w:multiLevelType w:val="hybridMultilevel"/>
    <w:tmpl w:val="89BA2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D85F66"/>
    <w:multiLevelType w:val="hybridMultilevel"/>
    <w:tmpl w:val="3CF054B4"/>
    <w:lvl w:ilvl="0" w:tplc="29E483E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630E6562"/>
    <w:multiLevelType w:val="hybridMultilevel"/>
    <w:tmpl w:val="69A6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4600F1"/>
    <w:multiLevelType w:val="hybridMultilevel"/>
    <w:tmpl w:val="8676F302"/>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5496C28"/>
    <w:multiLevelType w:val="hybridMultilevel"/>
    <w:tmpl w:val="3B8E1BE4"/>
    <w:lvl w:ilvl="0" w:tplc="D88CF2E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635520D"/>
    <w:multiLevelType w:val="hybridMultilevel"/>
    <w:tmpl w:val="162C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423B1D"/>
    <w:multiLevelType w:val="hybridMultilevel"/>
    <w:tmpl w:val="ECAE7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C31F20"/>
    <w:multiLevelType w:val="hybridMultilevel"/>
    <w:tmpl w:val="7F766B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6E47AD7"/>
    <w:multiLevelType w:val="hybridMultilevel"/>
    <w:tmpl w:val="D7B0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6021C1"/>
    <w:multiLevelType w:val="hybridMultilevel"/>
    <w:tmpl w:val="43AC69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141227"/>
    <w:multiLevelType w:val="hybridMultilevel"/>
    <w:tmpl w:val="358ED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D24476A"/>
    <w:multiLevelType w:val="hybridMultilevel"/>
    <w:tmpl w:val="87A2E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AD3F62"/>
    <w:multiLevelType w:val="hybridMultilevel"/>
    <w:tmpl w:val="A6C68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84006D"/>
    <w:multiLevelType w:val="hybridMultilevel"/>
    <w:tmpl w:val="EB40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6045B1"/>
    <w:multiLevelType w:val="hybridMultilevel"/>
    <w:tmpl w:val="B49C7BFE"/>
    <w:lvl w:ilvl="0" w:tplc="CB04F5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DC5298"/>
    <w:multiLevelType w:val="hybridMultilevel"/>
    <w:tmpl w:val="9EB2B0A2"/>
    <w:lvl w:ilvl="0" w:tplc="A8E04858">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491309"/>
    <w:multiLevelType w:val="hybridMultilevel"/>
    <w:tmpl w:val="BD86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B42E9D"/>
    <w:multiLevelType w:val="hybridMultilevel"/>
    <w:tmpl w:val="5B6A5F9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6D0681F"/>
    <w:multiLevelType w:val="hybridMultilevel"/>
    <w:tmpl w:val="9012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1F3676"/>
    <w:multiLevelType w:val="hybridMultilevel"/>
    <w:tmpl w:val="35AEE16C"/>
    <w:lvl w:ilvl="0" w:tplc="A05A23C0">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DE330C"/>
    <w:multiLevelType w:val="hybridMultilevel"/>
    <w:tmpl w:val="0750F3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9" w15:restartNumberingAfterBreak="0">
    <w:nsid w:val="796F64B9"/>
    <w:multiLevelType w:val="hybridMultilevel"/>
    <w:tmpl w:val="A74A5A8C"/>
    <w:lvl w:ilvl="0" w:tplc="AB80C60E">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A736429"/>
    <w:multiLevelType w:val="hybridMultilevel"/>
    <w:tmpl w:val="A41E7C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7B9559E0"/>
    <w:multiLevelType w:val="hybridMultilevel"/>
    <w:tmpl w:val="5EFE9322"/>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2" w15:restartNumberingAfterBreak="0">
    <w:nsid w:val="7D80605C"/>
    <w:multiLevelType w:val="hybridMultilevel"/>
    <w:tmpl w:val="F05C88E4"/>
    <w:lvl w:ilvl="0" w:tplc="7B6EB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DD2740"/>
    <w:multiLevelType w:val="hybridMultilevel"/>
    <w:tmpl w:val="68D669CE"/>
    <w:lvl w:ilvl="0" w:tplc="82AEEDF8">
      <w:start w:val="1"/>
      <w:numFmt w:val="lowerRoman"/>
      <w:lvlText w:val="(%1)"/>
      <w:lvlJc w:val="left"/>
      <w:pPr>
        <w:ind w:left="1080" w:hanging="720"/>
      </w:pPr>
      <w:rPr>
        <w:rFonts w:eastAsiaTheme="minorHAnsi"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D307BA"/>
    <w:multiLevelType w:val="hybridMultilevel"/>
    <w:tmpl w:val="F00A60A2"/>
    <w:lvl w:ilvl="0" w:tplc="1220C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9"/>
  </w:num>
  <w:num w:numId="3">
    <w:abstractNumId w:val="81"/>
  </w:num>
  <w:num w:numId="4">
    <w:abstractNumId w:val="83"/>
  </w:num>
  <w:num w:numId="5">
    <w:abstractNumId w:val="91"/>
  </w:num>
  <w:num w:numId="6">
    <w:abstractNumId w:val="7"/>
  </w:num>
  <w:num w:numId="7">
    <w:abstractNumId w:val="14"/>
  </w:num>
  <w:num w:numId="8">
    <w:abstractNumId w:val="56"/>
  </w:num>
  <w:num w:numId="9">
    <w:abstractNumId w:val="52"/>
  </w:num>
  <w:num w:numId="10">
    <w:abstractNumId w:val="45"/>
  </w:num>
  <w:num w:numId="11">
    <w:abstractNumId w:val="63"/>
  </w:num>
  <w:num w:numId="12">
    <w:abstractNumId w:val="62"/>
  </w:num>
  <w:num w:numId="13">
    <w:abstractNumId w:val="50"/>
  </w:num>
  <w:num w:numId="14">
    <w:abstractNumId w:val="71"/>
  </w:num>
  <w:num w:numId="15">
    <w:abstractNumId w:val="2"/>
  </w:num>
  <w:num w:numId="16">
    <w:abstractNumId w:val="33"/>
  </w:num>
  <w:num w:numId="17">
    <w:abstractNumId w:val="87"/>
  </w:num>
  <w:num w:numId="18">
    <w:abstractNumId w:val="72"/>
  </w:num>
  <w:num w:numId="19">
    <w:abstractNumId w:val="10"/>
  </w:num>
  <w:num w:numId="20">
    <w:abstractNumId w:val="6"/>
  </w:num>
  <w:num w:numId="21">
    <w:abstractNumId w:val="61"/>
  </w:num>
  <w:num w:numId="22">
    <w:abstractNumId w:val="36"/>
  </w:num>
  <w:num w:numId="23">
    <w:abstractNumId w:val="78"/>
  </w:num>
  <w:num w:numId="24">
    <w:abstractNumId w:val="76"/>
  </w:num>
  <w:num w:numId="25">
    <w:abstractNumId w:val="20"/>
  </w:num>
  <w:num w:numId="26">
    <w:abstractNumId w:val="13"/>
  </w:num>
  <w:num w:numId="27">
    <w:abstractNumId w:val="69"/>
  </w:num>
  <w:num w:numId="28">
    <w:abstractNumId w:val="39"/>
  </w:num>
  <w:num w:numId="29">
    <w:abstractNumId w:val="15"/>
  </w:num>
  <w:num w:numId="30">
    <w:abstractNumId w:val="21"/>
  </w:num>
  <w:num w:numId="31">
    <w:abstractNumId w:val="18"/>
  </w:num>
  <w:num w:numId="32">
    <w:abstractNumId w:val="4"/>
  </w:num>
  <w:num w:numId="33">
    <w:abstractNumId w:val="68"/>
  </w:num>
  <w:num w:numId="34">
    <w:abstractNumId w:val="12"/>
  </w:num>
  <w:num w:numId="35">
    <w:abstractNumId w:val="60"/>
  </w:num>
  <w:num w:numId="36">
    <w:abstractNumId w:val="79"/>
  </w:num>
  <w:num w:numId="37">
    <w:abstractNumId w:val="82"/>
  </w:num>
  <w:num w:numId="38">
    <w:abstractNumId w:val="37"/>
  </w:num>
  <w:num w:numId="39">
    <w:abstractNumId w:val="44"/>
  </w:num>
  <w:num w:numId="40">
    <w:abstractNumId w:val="41"/>
  </w:num>
  <w:num w:numId="41">
    <w:abstractNumId w:val="19"/>
  </w:num>
  <w:num w:numId="42">
    <w:abstractNumId w:val="77"/>
  </w:num>
  <w:num w:numId="43">
    <w:abstractNumId w:val="0"/>
  </w:num>
  <w:num w:numId="44">
    <w:abstractNumId w:val="64"/>
  </w:num>
  <w:num w:numId="45">
    <w:abstractNumId w:val="96"/>
  </w:num>
  <w:num w:numId="46">
    <w:abstractNumId w:val="86"/>
  </w:num>
  <w:num w:numId="47">
    <w:abstractNumId w:val="9"/>
  </w:num>
  <w:num w:numId="48">
    <w:abstractNumId w:val="11"/>
  </w:num>
  <w:num w:numId="49">
    <w:abstractNumId w:val="103"/>
  </w:num>
  <w:num w:numId="50">
    <w:abstractNumId w:val="31"/>
  </w:num>
  <w:num w:numId="51">
    <w:abstractNumId w:val="84"/>
  </w:num>
  <w:num w:numId="52">
    <w:abstractNumId w:val="101"/>
  </w:num>
  <w:num w:numId="53">
    <w:abstractNumId w:val="23"/>
  </w:num>
  <w:num w:numId="54">
    <w:abstractNumId w:val="38"/>
  </w:num>
  <w:num w:numId="55">
    <w:abstractNumId w:val="40"/>
  </w:num>
  <w:num w:numId="56">
    <w:abstractNumId w:val="16"/>
  </w:num>
  <w:num w:numId="57">
    <w:abstractNumId w:val="54"/>
  </w:num>
  <w:num w:numId="58">
    <w:abstractNumId w:val="85"/>
  </w:num>
  <w:num w:numId="59">
    <w:abstractNumId w:val="3"/>
  </w:num>
  <w:num w:numId="60">
    <w:abstractNumId w:val="67"/>
  </w:num>
  <w:num w:numId="61">
    <w:abstractNumId w:val="43"/>
  </w:num>
  <w:num w:numId="62">
    <w:abstractNumId w:val="42"/>
  </w:num>
  <w:num w:numId="63">
    <w:abstractNumId w:val="34"/>
  </w:num>
  <w:num w:numId="64">
    <w:abstractNumId w:val="48"/>
  </w:num>
  <w:num w:numId="65">
    <w:abstractNumId w:val="25"/>
  </w:num>
  <w:num w:numId="66">
    <w:abstractNumId w:val="95"/>
  </w:num>
  <w:num w:numId="67">
    <w:abstractNumId w:val="32"/>
  </w:num>
  <w:num w:numId="68">
    <w:abstractNumId w:val="70"/>
  </w:num>
  <w:num w:numId="69">
    <w:abstractNumId w:val="55"/>
  </w:num>
  <w:num w:numId="70">
    <w:abstractNumId w:val="47"/>
  </w:num>
  <w:num w:numId="71">
    <w:abstractNumId w:val="46"/>
  </w:num>
  <w:num w:numId="72">
    <w:abstractNumId w:val="58"/>
  </w:num>
  <w:num w:numId="73">
    <w:abstractNumId w:val="98"/>
  </w:num>
  <w:num w:numId="74">
    <w:abstractNumId w:val="51"/>
  </w:num>
  <w:num w:numId="75">
    <w:abstractNumId w:val="1"/>
  </w:num>
  <w:num w:numId="76">
    <w:abstractNumId w:val="8"/>
  </w:num>
  <w:num w:numId="77">
    <w:abstractNumId w:val="97"/>
  </w:num>
  <w:num w:numId="78">
    <w:abstractNumId w:val="65"/>
  </w:num>
  <w:num w:numId="79">
    <w:abstractNumId w:val="100"/>
  </w:num>
  <w:num w:numId="80">
    <w:abstractNumId w:val="88"/>
  </w:num>
  <w:num w:numId="81">
    <w:abstractNumId w:val="24"/>
  </w:num>
  <w:num w:numId="82">
    <w:abstractNumId w:val="27"/>
  </w:num>
  <w:num w:numId="83">
    <w:abstractNumId w:val="89"/>
  </w:num>
  <w:num w:numId="84">
    <w:abstractNumId w:val="26"/>
  </w:num>
  <w:num w:numId="85">
    <w:abstractNumId w:val="99"/>
  </w:num>
  <w:num w:numId="86">
    <w:abstractNumId w:val="75"/>
  </w:num>
  <w:num w:numId="87">
    <w:abstractNumId w:val="30"/>
  </w:num>
  <w:num w:numId="88">
    <w:abstractNumId w:val="17"/>
  </w:num>
  <w:num w:numId="89">
    <w:abstractNumId w:val="22"/>
  </w:num>
  <w:num w:numId="90">
    <w:abstractNumId w:val="74"/>
  </w:num>
  <w:num w:numId="91">
    <w:abstractNumId w:val="53"/>
  </w:num>
  <w:num w:numId="92">
    <w:abstractNumId w:val="94"/>
  </w:num>
  <w:num w:numId="93">
    <w:abstractNumId w:val="5"/>
  </w:num>
  <w:num w:numId="94">
    <w:abstractNumId w:val="80"/>
  </w:num>
  <w:num w:numId="95">
    <w:abstractNumId w:val="90"/>
  </w:num>
  <w:num w:numId="96">
    <w:abstractNumId w:val="28"/>
  </w:num>
  <w:num w:numId="97">
    <w:abstractNumId w:val="59"/>
  </w:num>
  <w:num w:numId="98">
    <w:abstractNumId w:val="35"/>
  </w:num>
  <w:num w:numId="99">
    <w:abstractNumId w:val="104"/>
  </w:num>
  <w:num w:numId="100">
    <w:abstractNumId w:val="66"/>
  </w:num>
  <w:num w:numId="101">
    <w:abstractNumId w:val="102"/>
  </w:num>
  <w:num w:numId="102">
    <w:abstractNumId w:val="73"/>
  </w:num>
  <w:num w:numId="103">
    <w:abstractNumId w:val="93"/>
  </w:num>
  <w:num w:numId="104">
    <w:abstractNumId w:val="57"/>
  </w:num>
  <w:num w:numId="105">
    <w:abstractNumId w:val="9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97"/>
    <w:rsid w:val="00001386"/>
    <w:rsid w:val="00003B61"/>
    <w:rsid w:val="00005B02"/>
    <w:rsid w:val="00007909"/>
    <w:rsid w:val="000100FA"/>
    <w:rsid w:val="00014354"/>
    <w:rsid w:val="00015D3D"/>
    <w:rsid w:val="00015F11"/>
    <w:rsid w:val="00021264"/>
    <w:rsid w:val="00021C76"/>
    <w:rsid w:val="00021DEF"/>
    <w:rsid w:val="00022C68"/>
    <w:rsid w:val="000230FF"/>
    <w:rsid w:val="00023591"/>
    <w:rsid w:val="00023646"/>
    <w:rsid w:val="0002491E"/>
    <w:rsid w:val="0002656D"/>
    <w:rsid w:val="00027321"/>
    <w:rsid w:val="00031306"/>
    <w:rsid w:val="0003576B"/>
    <w:rsid w:val="00041877"/>
    <w:rsid w:val="000424F4"/>
    <w:rsid w:val="00052760"/>
    <w:rsid w:val="000535C0"/>
    <w:rsid w:val="0005511A"/>
    <w:rsid w:val="00060617"/>
    <w:rsid w:val="00063651"/>
    <w:rsid w:val="0006645C"/>
    <w:rsid w:val="000666CD"/>
    <w:rsid w:val="000706DA"/>
    <w:rsid w:val="00073066"/>
    <w:rsid w:val="00077B9B"/>
    <w:rsid w:val="00080D72"/>
    <w:rsid w:val="00081A9A"/>
    <w:rsid w:val="0009389B"/>
    <w:rsid w:val="00094333"/>
    <w:rsid w:val="00095E83"/>
    <w:rsid w:val="000A4235"/>
    <w:rsid w:val="000B2E91"/>
    <w:rsid w:val="000B3BD9"/>
    <w:rsid w:val="000B4279"/>
    <w:rsid w:val="000B6A56"/>
    <w:rsid w:val="000B7DAB"/>
    <w:rsid w:val="000C121D"/>
    <w:rsid w:val="000C1738"/>
    <w:rsid w:val="000C23F8"/>
    <w:rsid w:val="000C2424"/>
    <w:rsid w:val="000C2EC5"/>
    <w:rsid w:val="000C372A"/>
    <w:rsid w:val="000C3FAA"/>
    <w:rsid w:val="000D3690"/>
    <w:rsid w:val="000E7269"/>
    <w:rsid w:val="001009C8"/>
    <w:rsid w:val="00104DC1"/>
    <w:rsid w:val="00107188"/>
    <w:rsid w:val="00107D12"/>
    <w:rsid w:val="00110743"/>
    <w:rsid w:val="00113E03"/>
    <w:rsid w:val="00113FAE"/>
    <w:rsid w:val="00120872"/>
    <w:rsid w:val="00123425"/>
    <w:rsid w:val="00127209"/>
    <w:rsid w:val="001338BE"/>
    <w:rsid w:val="001352AE"/>
    <w:rsid w:val="00137937"/>
    <w:rsid w:val="00137F12"/>
    <w:rsid w:val="00140E74"/>
    <w:rsid w:val="00143B08"/>
    <w:rsid w:val="00143B97"/>
    <w:rsid w:val="00144FDE"/>
    <w:rsid w:val="00146884"/>
    <w:rsid w:val="001469F5"/>
    <w:rsid w:val="001479FF"/>
    <w:rsid w:val="001523D3"/>
    <w:rsid w:val="001535B3"/>
    <w:rsid w:val="001545A8"/>
    <w:rsid w:val="00157040"/>
    <w:rsid w:val="001570D4"/>
    <w:rsid w:val="001575F1"/>
    <w:rsid w:val="00157B4E"/>
    <w:rsid w:val="001607A4"/>
    <w:rsid w:val="00161A2E"/>
    <w:rsid w:val="001637FC"/>
    <w:rsid w:val="00165CF9"/>
    <w:rsid w:val="00165D4A"/>
    <w:rsid w:val="0016672C"/>
    <w:rsid w:val="0017087F"/>
    <w:rsid w:val="00170B88"/>
    <w:rsid w:val="00181E2F"/>
    <w:rsid w:val="001832C3"/>
    <w:rsid w:val="00183DD8"/>
    <w:rsid w:val="001847E3"/>
    <w:rsid w:val="001878A5"/>
    <w:rsid w:val="00187AC4"/>
    <w:rsid w:val="00187CC7"/>
    <w:rsid w:val="00190712"/>
    <w:rsid w:val="00191AFF"/>
    <w:rsid w:val="001927A6"/>
    <w:rsid w:val="001930E5"/>
    <w:rsid w:val="001A2251"/>
    <w:rsid w:val="001A2B94"/>
    <w:rsid w:val="001B1050"/>
    <w:rsid w:val="001B3FC2"/>
    <w:rsid w:val="001C1796"/>
    <w:rsid w:val="001C3AA5"/>
    <w:rsid w:val="001C465B"/>
    <w:rsid w:val="001C5455"/>
    <w:rsid w:val="001D2F77"/>
    <w:rsid w:val="001E1A85"/>
    <w:rsid w:val="001E3B00"/>
    <w:rsid w:val="001E3BDA"/>
    <w:rsid w:val="001E3CCD"/>
    <w:rsid w:val="001E3DBF"/>
    <w:rsid w:val="001E3E28"/>
    <w:rsid w:val="001E46E3"/>
    <w:rsid w:val="001E4E13"/>
    <w:rsid w:val="001E685F"/>
    <w:rsid w:val="001E6AFD"/>
    <w:rsid w:val="001E6D7B"/>
    <w:rsid w:val="001F04C2"/>
    <w:rsid w:val="001F2D1F"/>
    <w:rsid w:val="001F32F8"/>
    <w:rsid w:val="001F4014"/>
    <w:rsid w:val="001F48A8"/>
    <w:rsid w:val="001F77D2"/>
    <w:rsid w:val="001F7F50"/>
    <w:rsid w:val="00201A73"/>
    <w:rsid w:val="00204CF5"/>
    <w:rsid w:val="002056A3"/>
    <w:rsid w:val="002073CB"/>
    <w:rsid w:val="0021099E"/>
    <w:rsid w:val="00211297"/>
    <w:rsid w:val="00211BB3"/>
    <w:rsid w:val="00213A15"/>
    <w:rsid w:val="00216D49"/>
    <w:rsid w:val="00216DF0"/>
    <w:rsid w:val="00224778"/>
    <w:rsid w:val="00232AD6"/>
    <w:rsid w:val="0023413A"/>
    <w:rsid w:val="0024086D"/>
    <w:rsid w:val="002458AC"/>
    <w:rsid w:val="00247638"/>
    <w:rsid w:val="00261803"/>
    <w:rsid w:val="00267612"/>
    <w:rsid w:val="00270A36"/>
    <w:rsid w:val="00270AE8"/>
    <w:rsid w:val="00270DA6"/>
    <w:rsid w:val="00281D58"/>
    <w:rsid w:val="00282C32"/>
    <w:rsid w:val="00285BC5"/>
    <w:rsid w:val="00291012"/>
    <w:rsid w:val="0029192E"/>
    <w:rsid w:val="002A3520"/>
    <w:rsid w:val="002A45EA"/>
    <w:rsid w:val="002A4EE3"/>
    <w:rsid w:val="002A5591"/>
    <w:rsid w:val="002A726B"/>
    <w:rsid w:val="002A745C"/>
    <w:rsid w:val="002B1809"/>
    <w:rsid w:val="002B2945"/>
    <w:rsid w:val="002B374D"/>
    <w:rsid w:val="002B6EC6"/>
    <w:rsid w:val="002B76B6"/>
    <w:rsid w:val="002C14EA"/>
    <w:rsid w:val="002C29BC"/>
    <w:rsid w:val="002C638E"/>
    <w:rsid w:val="002C7764"/>
    <w:rsid w:val="002C7AD0"/>
    <w:rsid w:val="002D0BD8"/>
    <w:rsid w:val="002D2090"/>
    <w:rsid w:val="002D3B9B"/>
    <w:rsid w:val="002E0073"/>
    <w:rsid w:val="002E221D"/>
    <w:rsid w:val="002E231A"/>
    <w:rsid w:val="002E461C"/>
    <w:rsid w:val="002E6FDF"/>
    <w:rsid w:val="002E71F7"/>
    <w:rsid w:val="002F298D"/>
    <w:rsid w:val="002F3EB7"/>
    <w:rsid w:val="002F4BB6"/>
    <w:rsid w:val="002F61E9"/>
    <w:rsid w:val="002F6838"/>
    <w:rsid w:val="002F73FB"/>
    <w:rsid w:val="003019E7"/>
    <w:rsid w:val="00302AE9"/>
    <w:rsid w:val="003074B3"/>
    <w:rsid w:val="003103B9"/>
    <w:rsid w:val="00322BC3"/>
    <w:rsid w:val="0032353A"/>
    <w:rsid w:val="00324B32"/>
    <w:rsid w:val="00327345"/>
    <w:rsid w:val="00332849"/>
    <w:rsid w:val="003335BA"/>
    <w:rsid w:val="00333FA2"/>
    <w:rsid w:val="0033601F"/>
    <w:rsid w:val="003435EB"/>
    <w:rsid w:val="00343752"/>
    <w:rsid w:val="00344DBD"/>
    <w:rsid w:val="00346512"/>
    <w:rsid w:val="00347F41"/>
    <w:rsid w:val="00354B3B"/>
    <w:rsid w:val="00355518"/>
    <w:rsid w:val="003556DD"/>
    <w:rsid w:val="0035700D"/>
    <w:rsid w:val="0035739A"/>
    <w:rsid w:val="003602BF"/>
    <w:rsid w:val="00360A5C"/>
    <w:rsid w:val="00365747"/>
    <w:rsid w:val="0036774A"/>
    <w:rsid w:val="00373B7F"/>
    <w:rsid w:val="00375A8D"/>
    <w:rsid w:val="00375E56"/>
    <w:rsid w:val="0037660D"/>
    <w:rsid w:val="0037692F"/>
    <w:rsid w:val="00377AD0"/>
    <w:rsid w:val="00390B0C"/>
    <w:rsid w:val="003916E0"/>
    <w:rsid w:val="003926FB"/>
    <w:rsid w:val="003A0E96"/>
    <w:rsid w:val="003A5BA7"/>
    <w:rsid w:val="003B0C8D"/>
    <w:rsid w:val="003B3534"/>
    <w:rsid w:val="003C17EA"/>
    <w:rsid w:val="003C2E50"/>
    <w:rsid w:val="003C35C8"/>
    <w:rsid w:val="003C3C47"/>
    <w:rsid w:val="003C7268"/>
    <w:rsid w:val="003D0268"/>
    <w:rsid w:val="003D1F92"/>
    <w:rsid w:val="003D21AF"/>
    <w:rsid w:val="003D255F"/>
    <w:rsid w:val="003D4782"/>
    <w:rsid w:val="003D78E5"/>
    <w:rsid w:val="003E10DE"/>
    <w:rsid w:val="003E486B"/>
    <w:rsid w:val="003E487A"/>
    <w:rsid w:val="003E6F0F"/>
    <w:rsid w:val="003F0622"/>
    <w:rsid w:val="003F25C4"/>
    <w:rsid w:val="003F61E8"/>
    <w:rsid w:val="00400DEA"/>
    <w:rsid w:val="00401F7C"/>
    <w:rsid w:val="0040297B"/>
    <w:rsid w:val="00403048"/>
    <w:rsid w:val="00406670"/>
    <w:rsid w:val="00406E66"/>
    <w:rsid w:val="00411246"/>
    <w:rsid w:val="00411467"/>
    <w:rsid w:val="00412697"/>
    <w:rsid w:val="00414282"/>
    <w:rsid w:val="004167F1"/>
    <w:rsid w:val="004202AD"/>
    <w:rsid w:val="00422082"/>
    <w:rsid w:val="004235ED"/>
    <w:rsid w:val="00423D27"/>
    <w:rsid w:val="00424E73"/>
    <w:rsid w:val="00427FEE"/>
    <w:rsid w:val="004315DB"/>
    <w:rsid w:val="0043214D"/>
    <w:rsid w:val="00434D60"/>
    <w:rsid w:val="00437809"/>
    <w:rsid w:val="0044146D"/>
    <w:rsid w:val="004435FA"/>
    <w:rsid w:val="00453FA1"/>
    <w:rsid w:val="00455E8D"/>
    <w:rsid w:val="00456B76"/>
    <w:rsid w:val="004615DF"/>
    <w:rsid w:val="00462285"/>
    <w:rsid w:val="004673F6"/>
    <w:rsid w:val="0047206C"/>
    <w:rsid w:val="00472B54"/>
    <w:rsid w:val="00473B27"/>
    <w:rsid w:val="00481288"/>
    <w:rsid w:val="00483248"/>
    <w:rsid w:val="004837A2"/>
    <w:rsid w:val="00484B15"/>
    <w:rsid w:val="00486754"/>
    <w:rsid w:val="00486A7E"/>
    <w:rsid w:val="004909EF"/>
    <w:rsid w:val="00495039"/>
    <w:rsid w:val="004951CE"/>
    <w:rsid w:val="004A1CBC"/>
    <w:rsid w:val="004A4031"/>
    <w:rsid w:val="004A45DB"/>
    <w:rsid w:val="004A5820"/>
    <w:rsid w:val="004B2ED1"/>
    <w:rsid w:val="004B3290"/>
    <w:rsid w:val="004B46DA"/>
    <w:rsid w:val="004C1108"/>
    <w:rsid w:val="004C131C"/>
    <w:rsid w:val="004C2A24"/>
    <w:rsid w:val="004C5535"/>
    <w:rsid w:val="004C7756"/>
    <w:rsid w:val="004D0158"/>
    <w:rsid w:val="004D1461"/>
    <w:rsid w:val="004D4157"/>
    <w:rsid w:val="004E087B"/>
    <w:rsid w:val="004E0D6D"/>
    <w:rsid w:val="004E1095"/>
    <w:rsid w:val="004E2487"/>
    <w:rsid w:val="004E2496"/>
    <w:rsid w:val="004E3755"/>
    <w:rsid w:val="004E4108"/>
    <w:rsid w:val="004E529C"/>
    <w:rsid w:val="004F2063"/>
    <w:rsid w:val="004F3C85"/>
    <w:rsid w:val="004F404C"/>
    <w:rsid w:val="004F4376"/>
    <w:rsid w:val="004F4A3A"/>
    <w:rsid w:val="004F7CF1"/>
    <w:rsid w:val="0050131B"/>
    <w:rsid w:val="005017F4"/>
    <w:rsid w:val="00501864"/>
    <w:rsid w:val="005033DF"/>
    <w:rsid w:val="0050342A"/>
    <w:rsid w:val="005060F5"/>
    <w:rsid w:val="00510A92"/>
    <w:rsid w:val="00513197"/>
    <w:rsid w:val="00514C77"/>
    <w:rsid w:val="005173B1"/>
    <w:rsid w:val="00522465"/>
    <w:rsid w:val="00523296"/>
    <w:rsid w:val="00526DEC"/>
    <w:rsid w:val="005271E4"/>
    <w:rsid w:val="00527A8A"/>
    <w:rsid w:val="005308B8"/>
    <w:rsid w:val="00533CA7"/>
    <w:rsid w:val="00537C50"/>
    <w:rsid w:val="005403C2"/>
    <w:rsid w:val="00541907"/>
    <w:rsid w:val="00541BC2"/>
    <w:rsid w:val="005428E5"/>
    <w:rsid w:val="0054394C"/>
    <w:rsid w:val="0054426B"/>
    <w:rsid w:val="005454E2"/>
    <w:rsid w:val="00546C89"/>
    <w:rsid w:val="0055365D"/>
    <w:rsid w:val="00554EF8"/>
    <w:rsid w:val="00556745"/>
    <w:rsid w:val="00561022"/>
    <w:rsid w:val="00571C5D"/>
    <w:rsid w:val="00580013"/>
    <w:rsid w:val="00580C7B"/>
    <w:rsid w:val="00581C10"/>
    <w:rsid w:val="00584856"/>
    <w:rsid w:val="005856EA"/>
    <w:rsid w:val="0059171C"/>
    <w:rsid w:val="005A4A39"/>
    <w:rsid w:val="005A576D"/>
    <w:rsid w:val="005A6A67"/>
    <w:rsid w:val="005A71E3"/>
    <w:rsid w:val="005B04F6"/>
    <w:rsid w:val="005B221B"/>
    <w:rsid w:val="005B224B"/>
    <w:rsid w:val="005B48FF"/>
    <w:rsid w:val="005B56E8"/>
    <w:rsid w:val="005B642A"/>
    <w:rsid w:val="005C00D0"/>
    <w:rsid w:val="005C3896"/>
    <w:rsid w:val="005C59E2"/>
    <w:rsid w:val="005C6326"/>
    <w:rsid w:val="005D2701"/>
    <w:rsid w:val="005D2985"/>
    <w:rsid w:val="005D44BC"/>
    <w:rsid w:val="005D516A"/>
    <w:rsid w:val="005D58B4"/>
    <w:rsid w:val="005D71CD"/>
    <w:rsid w:val="005E3B38"/>
    <w:rsid w:val="005E483B"/>
    <w:rsid w:val="005E58F6"/>
    <w:rsid w:val="005F0EA6"/>
    <w:rsid w:val="005F0F93"/>
    <w:rsid w:val="005F459A"/>
    <w:rsid w:val="005F65F1"/>
    <w:rsid w:val="00600F68"/>
    <w:rsid w:val="00601322"/>
    <w:rsid w:val="00603D2F"/>
    <w:rsid w:val="00606169"/>
    <w:rsid w:val="00614B84"/>
    <w:rsid w:val="006205B3"/>
    <w:rsid w:val="006228C9"/>
    <w:rsid w:val="006276CE"/>
    <w:rsid w:val="00630E67"/>
    <w:rsid w:val="0063137D"/>
    <w:rsid w:val="0063622F"/>
    <w:rsid w:val="00640292"/>
    <w:rsid w:val="006413B0"/>
    <w:rsid w:val="0064288F"/>
    <w:rsid w:val="0064319B"/>
    <w:rsid w:val="006445F6"/>
    <w:rsid w:val="00650E97"/>
    <w:rsid w:val="006514B0"/>
    <w:rsid w:val="00653B88"/>
    <w:rsid w:val="00655D4E"/>
    <w:rsid w:val="0065662C"/>
    <w:rsid w:val="00657407"/>
    <w:rsid w:val="0066032E"/>
    <w:rsid w:val="00660958"/>
    <w:rsid w:val="00662979"/>
    <w:rsid w:val="006641B6"/>
    <w:rsid w:val="00664742"/>
    <w:rsid w:val="00665048"/>
    <w:rsid w:val="006655BC"/>
    <w:rsid w:val="00666A95"/>
    <w:rsid w:val="00667DCD"/>
    <w:rsid w:val="00674AA3"/>
    <w:rsid w:val="00675DAE"/>
    <w:rsid w:val="006772A6"/>
    <w:rsid w:val="006804D1"/>
    <w:rsid w:val="00682942"/>
    <w:rsid w:val="00682A65"/>
    <w:rsid w:val="00686508"/>
    <w:rsid w:val="00691585"/>
    <w:rsid w:val="006916C4"/>
    <w:rsid w:val="00694B75"/>
    <w:rsid w:val="0069545F"/>
    <w:rsid w:val="0069551A"/>
    <w:rsid w:val="00695603"/>
    <w:rsid w:val="006A0297"/>
    <w:rsid w:val="006B28D7"/>
    <w:rsid w:val="006C0C86"/>
    <w:rsid w:val="006C4EA0"/>
    <w:rsid w:val="006C519F"/>
    <w:rsid w:val="006D253D"/>
    <w:rsid w:val="006D455D"/>
    <w:rsid w:val="006E30ED"/>
    <w:rsid w:val="006E4779"/>
    <w:rsid w:val="006E6632"/>
    <w:rsid w:val="006E69A5"/>
    <w:rsid w:val="006E7A79"/>
    <w:rsid w:val="006F09AA"/>
    <w:rsid w:val="006F1BA2"/>
    <w:rsid w:val="006F25BE"/>
    <w:rsid w:val="006F5F21"/>
    <w:rsid w:val="006F6763"/>
    <w:rsid w:val="0070382F"/>
    <w:rsid w:val="00703BDB"/>
    <w:rsid w:val="00704808"/>
    <w:rsid w:val="0070638C"/>
    <w:rsid w:val="00712306"/>
    <w:rsid w:val="00712594"/>
    <w:rsid w:val="007128F0"/>
    <w:rsid w:val="00712930"/>
    <w:rsid w:val="00712DBE"/>
    <w:rsid w:val="00717587"/>
    <w:rsid w:val="00720473"/>
    <w:rsid w:val="00720FF8"/>
    <w:rsid w:val="0072228A"/>
    <w:rsid w:val="00722803"/>
    <w:rsid w:val="00722A35"/>
    <w:rsid w:val="00723789"/>
    <w:rsid w:val="00726116"/>
    <w:rsid w:val="007272DC"/>
    <w:rsid w:val="007277D8"/>
    <w:rsid w:val="00732341"/>
    <w:rsid w:val="00734140"/>
    <w:rsid w:val="00735A34"/>
    <w:rsid w:val="00736141"/>
    <w:rsid w:val="007363B0"/>
    <w:rsid w:val="00742277"/>
    <w:rsid w:val="00742DCB"/>
    <w:rsid w:val="00744508"/>
    <w:rsid w:val="00745286"/>
    <w:rsid w:val="00750483"/>
    <w:rsid w:val="0075245C"/>
    <w:rsid w:val="00755FB4"/>
    <w:rsid w:val="00757A61"/>
    <w:rsid w:val="00760471"/>
    <w:rsid w:val="00760AC3"/>
    <w:rsid w:val="007628DA"/>
    <w:rsid w:val="00767426"/>
    <w:rsid w:val="00770AE3"/>
    <w:rsid w:val="00774CE0"/>
    <w:rsid w:val="00777102"/>
    <w:rsid w:val="00777634"/>
    <w:rsid w:val="00777A91"/>
    <w:rsid w:val="00777BE5"/>
    <w:rsid w:val="00781252"/>
    <w:rsid w:val="0079082B"/>
    <w:rsid w:val="0079584F"/>
    <w:rsid w:val="0079650F"/>
    <w:rsid w:val="007A6A82"/>
    <w:rsid w:val="007A7391"/>
    <w:rsid w:val="007B6591"/>
    <w:rsid w:val="007B7014"/>
    <w:rsid w:val="007B76DA"/>
    <w:rsid w:val="007C027E"/>
    <w:rsid w:val="007C1BDB"/>
    <w:rsid w:val="007C4D3E"/>
    <w:rsid w:val="007C4E6E"/>
    <w:rsid w:val="007D0BC0"/>
    <w:rsid w:val="007D11E3"/>
    <w:rsid w:val="007D7A7A"/>
    <w:rsid w:val="007E1296"/>
    <w:rsid w:val="007E29AB"/>
    <w:rsid w:val="007E5090"/>
    <w:rsid w:val="007E7647"/>
    <w:rsid w:val="007F0479"/>
    <w:rsid w:val="007F3F36"/>
    <w:rsid w:val="007F583E"/>
    <w:rsid w:val="00800D55"/>
    <w:rsid w:val="00803177"/>
    <w:rsid w:val="00803641"/>
    <w:rsid w:val="00807070"/>
    <w:rsid w:val="00807250"/>
    <w:rsid w:val="008110EB"/>
    <w:rsid w:val="00814323"/>
    <w:rsid w:val="00817134"/>
    <w:rsid w:val="00821757"/>
    <w:rsid w:val="0082694A"/>
    <w:rsid w:val="00827BAF"/>
    <w:rsid w:val="0083447B"/>
    <w:rsid w:val="00842295"/>
    <w:rsid w:val="0084278B"/>
    <w:rsid w:val="008442EB"/>
    <w:rsid w:val="008462DE"/>
    <w:rsid w:val="00846C49"/>
    <w:rsid w:val="008479C3"/>
    <w:rsid w:val="00850C2B"/>
    <w:rsid w:val="00855538"/>
    <w:rsid w:val="008627A7"/>
    <w:rsid w:val="00862C12"/>
    <w:rsid w:val="008639C7"/>
    <w:rsid w:val="00866574"/>
    <w:rsid w:val="008674F4"/>
    <w:rsid w:val="008675D6"/>
    <w:rsid w:val="0087473F"/>
    <w:rsid w:val="00877A29"/>
    <w:rsid w:val="008822B3"/>
    <w:rsid w:val="008837C7"/>
    <w:rsid w:val="008855DB"/>
    <w:rsid w:val="00886D18"/>
    <w:rsid w:val="008903CE"/>
    <w:rsid w:val="00892015"/>
    <w:rsid w:val="0089435C"/>
    <w:rsid w:val="00894500"/>
    <w:rsid w:val="008945AF"/>
    <w:rsid w:val="008968B9"/>
    <w:rsid w:val="008A2CD3"/>
    <w:rsid w:val="008A3C74"/>
    <w:rsid w:val="008A4234"/>
    <w:rsid w:val="008A7E6F"/>
    <w:rsid w:val="008B3F40"/>
    <w:rsid w:val="008B4283"/>
    <w:rsid w:val="008B6B39"/>
    <w:rsid w:val="008B7C78"/>
    <w:rsid w:val="008B7D47"/>
    <w:rsid w:val="008C0485"/>
    <w:rsid w:val="008C0BC1"/>
    <w:rsid w:val="008C5F9D"/>
    <w:rsid w:val="008D0508"/>
    <w:rsid w:val="008D360F"/>
    <w:rsid w:val="008D4FEB"/>
    <w:rsid w:val="008D6CCF"/>
    <w:rsid w:val="008E5628"/>
    <w:rsid w:val="008E7D66"/>
    <w:rsid w:val="008F106F"/>
    <w:rsid w:val="008F3738"/>
    <w:rsid w:val="008F5E07"/>
    <w:rsid w:val="008F77D5"/>
    <w:rsid w:val="00903518"/>
    <w:rsid w:val="00903A4A"/>
    <w:rsid w:val="009053E6"/>
    <w:rsid w:val="00906768"/>
    <w:rsid w:val="00907C7C"/>
    <w:rsid w:val="0091056C"/>
    <w:rsid w:val="009108EC"/>
    <w:rsid w:val="00915C4D"/>
    <w:rsid w:val="0092187D"/>
    <w:rsid w:val="00923027"/>
    <w:rsid w:val="00927AEF"/>
    <w:rsid w:val="009349B4"/>
    <w:rsid w:val="00936760"/>
    <w:rsid w:val="0093737F"/>
    <w:rsid w:val="009422CE"/>
    <w:rsid w:val="00943E91"/>
    <w:rsid w:val="00947A1E"/>
    <w:rsid w:val="00950369"/>
    <w:rsid w:val="00950A52"/>
    <w:rsid w:val="00950CD1"/>
    <w:rsid w:val="009555E8"/>
    <w:rsid w:val="00956689"/>
    <w:rsid w:val="00961701"/>
    <w:rsid w:val="009621FF"/>
    <w:rsid w:val="009626CB"/>
    <w:rsid w:val="00962EBF"/>
    <w:rsid w:val="00970064"/>
    <w:rsid w:val="00970758"/>
    <w:rsid w:val="00977292"/>
    <w:rsid w:val="00981DA1"/>
    <w:rsid w:val="00982597"/>
    <w:rsid w:val="009838D3"/>
    <w:rsid w:val="00983DED"/>
    <w:rsid w:val="00984B63"/>
    <w:rsid w:val="00987664"/>
    <w:rsid w:val="00987BD8"/>
    <w:rsid w:val="00987DC8"/>
    <w:rsid w:val="00987ECC"/>
    <w:rsid w:val="00990192"/>
    <w:rsid w:val="009917A4"/>
    <w:rsid w:val="00995C84"/>
    <w:rsid w:val="009A2252"/>
    <w:rsid w:val="009A3D9B"/>
    <w:rsid w:val="009A5397"/>
    <w:rsid w:val="009B4DF5"/>
    <w:rsid w:val="009B5E65"/>
    <w:rsid w:val="009C25AD"/>
    <w:rsid w:val="009C4205"/>
    <w:rsid w:val="009C60B8"/>
    <w:rsid w:val="009C74E2"/>
    <w:rsid w:val="009D10D0"/>
    <w:rsid w:val="009D2AA8"/>
    <w:rsid w:val="009D4BBC"/>
    <w:rsid w:val="009E0F84"/>
    <w:rsid w:val="009E15A8"/>
    <w:rsid w:val="009E5E62"/>
    <w:rsid w:val="009F5F3B"/>
    <w:rsid w:val="00A00D4F"/>
    <w:rsid w:val="00A01DE8"/>
    <w:rsid w:val="00A02034"/>
    <w:rsid w:val="00A0274C"/>
    <w:rsid w:val="00A075B9"/>
    <w:rsid w:val="00A075BE"/>
    <w:rsid w:val="00A12A18"/>
    <w:rsid w:val="00A165AA"/>
    <w:rsid w:val="00A21F08"/>
    <w:rsid w:val="00A25292"/>
    <w:rsid w:val="00A25557"/>
    <w:rsid w:val="00A26E42"/>
    <w:rsid w:val="00A306F8"/>
    <w:rsid w:val="00A31C15"/>
    <w:rsid w:val="00A339C6"/>
    <w:rsid w:val="00A342E6"/>
    <w:rsid w:val="00A3465F"/>
    <w:rsid w:val="00A368E4"/>
    <w:rsid w:val="00A37B7B"/>
    <w:rsid w:val="00A37D0C"/>
    <w:rsid w:val="00A400AE"/>
    <w:rsid w:val="00A43F3A"/>
    <w:rsid w:val="00A44D94"/>
    <w:rsid w:val="00A52C6A"/>
    <w:rsid w:val="00A53B28"/>
    <w:rsid w:val="00A53E51"/>
    <w:rsid w:val="00A550B9"/>
    <w:rsid w:val="00A5698C"/>
    <w:rsid w:val="00A6180D"/>
    <w:rsid w:val="00A6518D"/>
    <w:rsid w:val="00A66356"/>
    <w:rsid w:val="00A66E39"/>
    <w:rsid w:val="00A6799D"/>
    <w:rsid w:val="00A72A19"/>
    <w:rsid w:val="00A753C6"/>
    <w:rsid w:val="00A76292"/>
    <w:rsid w:val="00A80549"/>
    <w:rsid w:val="00A80F1C"/>
    <w:rsid w:val="00A859A0"/>
    <w:rsid w:val="00A85C6E"/>
    <w:rsid w:val="00A85E5A"/>
    <w:rsid w:val="00A909A8"/>
    <w:rsid w:val="00A90F6B"/>
    <w:rsid w:val="00A925F7"/>
    <w:rsid w:val="00A92DCA"/>
    <w:rsid w:val="00A92E69"/>
    <w:rsid w:val="00AA41A3"/>
    <w:rsid w:val="00AA499C"/>
    <w:rsid w:val="00AA519E"/>
    <w:rsid w:val="00AA6154"/>
    <w:rsid w:val="00AA7608"/>
    <w:rsid w:val="00AA7AD8"/>
    <w:rsid w:val="00AA7DD0"/>
    <w:rsid w:val="00AB0D42"/>
    <w:rsid w:val="00AB2004"/>
    <w:rsid w:val="00AB3FA2"/>
    <w:rsid w:val="00AB74E0"/>
    <w:rsid w:val="00AC467C"/>
    <w:rsid w:val="00AC647C"/>
    <w:rsid w:val="00AD17BF"/>
    <w:rsid w:val="00AD7BE5"/>
    <w:rsid w:val="00AE0B3B"/>
    <w:rsid w:val="00AF0590"/>
    <w:rsid w:val="00AF0929"/>
    <w:rsid w:val="00AF49F5"/>
    <w:rsid w:val="00B0101F"/>
    <w:rsid w:val="00B024AB"/>
    <w:rsid w:val="00B02892"/>
    <w:rsid w:val="00B1049D"/>
    <w:rsid w:val="00B143D8"/>
    <w:rsid w:val="00B170A6"/>
    <w:rsid w:val="00B175EB"/>
    <w:rsid w:val="00B2383A"/>
    <w:rsid w:val="00B24372"/>
    <w:rsid w:val="00B24BC6"/>
    <w:rsid w:val="00B25C37"/>
    <w:rsid w:val="00B3678A"/>
    <w:rsid w:val="00B36792"/>
    <w:rsid w:val="00B41397"/>
    <w:rsid w:val="00B41C0B"/>
    <w:rsid w:val="00B4426E"/>
    <w:rsid w:val="00B44F33"/>
    <w:rsid w:val="00B46155"/>
    <w:rsid w:val="00B4648F"/>
    <w:rsid w:val="00B46D79"/>
    <w:rsid w:val="00B50B9C"/>
    <w:rsid w:val="00B511A1"/>
    <w:rsid w:val="00B5135C"/>
    <w:rsid w:val="00B561C8"/>
    <w:rsid w:val="00B56874"/>
    <w:rsid w:val="00B61A64"/>
    <w:rsid w:val="00B6203B"/>
    <w:rsid w:val="00B65C4D"/>
    <w:rsid w:val="00B70C92"/>
    <w:rsid w:val="00B736B4"/>
    <w:rsid w:val="00B73A8F"/>
    <w:rsid w:val="00B74BBA"/>
    <w:rsid w:val="00B76575"/>
    <w:rsid w:val="00B76C7E"/>
    <w:rsid w:val="00B80350"/>
    <w:rsid w:val="00B8056C"/>
    <w:rsid w:val="00B80D76"/>
    <w:rsid w:val="00B83D1C"/>
    <w:rsid w:val="00B853CC"/>
    <w:rsid w:val="00B86340"/>
    <w:rsid w:val="00B86C87"/>
    <w:rsid w:val="00B9537E"/>
    <w:rsid w:val="00B961F1"/>
    <w:rsid w:val="00B96803"/>
    <w:rsid w:val="00BA0353"/>
    <w:rsid w:val="00BA1524"/>
    <w:rsid w:val="00BA2D54"/>
    <w:rsid w:val="00BA4A8C"/>
    <w:rsid w:val="00BA73F7"/>
    <w:rsid w:val="00BB00CD"/>
    <w:rsid w:val="00BB1276"/>
    <w:rsid w:val="00BB3359"/>
    <w:rsid w:val="00BB396D"/>
    <w:rsid w:val="00BB4473"/>
    <w:rsid w:val="00BB44A6"/>
    <w:rsid w:val="00BB525F"/>
    <w:rsid w:val="00BC094D"/>
    <w:rsid w:val="00BC10AD"/>
    <w:rsid w:val="00BC1AF1"/>
    <w:rsid w:val="00BC26CB"/>
    <w:rsid w:val="00BC478E"/>
    <w:rsid w:val="00BC5E00"/>
    <w:rsid w:val="00BC64BB"/>
    <w:rsid w:val="00BC77DF"/>
    <w:rsid w:val="00BD2980"/>
    <w:rsid w:val="00BD3631"/>
    <w:rsid w:val="00BD4089"/>
    <w:rsid w:val="00BD47C9"/>
    <w:rsid w:val="00BD50B3"/>
    <w:rsid w:val="00BE5347"/>
    <w:rsid w:val="00BE7155"/>
    <w:rsid w:val="00BF3DAF"/>
    <w:rsid w:val="00BF57B4"/>
    <w:rsid w:val="00C0007D"/>
    <w:rsid w:val="00C00492"/>
    <w:rsid w:val="00C009FB"/>
    <w:rsid w:val="00C01B59"/>
    <w:rsid w:val="00C03244"/>
    <w:rsid w:val="00C10883"/>
    <w:rsid w:val="00C1206E"/>
    <w:rsid w:val="00C13745"/>
    <w:rsid w:val="00C16677"/>
    <w:rsid w:val="00C23776"/>
    <w:rsid w:val="00C23980"/>
    <w:rsid w:val="00C24FFC"/>
    <w:rsid w:val="00C2551D"/>
    <w:rsid w:val="00C27DDC"/>
    <w:rsid w:val="00C30F60"/>
    <w:rsid w:val="00C311DA"/>
    <w:rsid w:val="00C316B0"/>
    <w:rsid w:val="00C35DEB"/>
    <w:rsid w:val="00C363B1"/>
    <w:rsid w:val="00C36DF8"/>
    <w:rsid w:val="00C409F6"/>
    <w:rsid w:val="00C40DDC"/>
    <w:rsid w:val="00C41BC2"/>
    <w:rsid w:val="00C457D7"/>
    <w:rsid w:val="00C478AD"/>
    <w:rsid w:val="00C50B56"/>
    <w:rsid w:val="00C527BF"/>
    <w:rsid w:val="00C56822"/>
    <w:rsid w:val="00C5767D"/>
    <w:rsid w:val="00C64E1F"/>
    <w:rsid w:val="00C6780F"/>
    <w:rsid w:val="00C67C06"/>
    <w:rsid w:val="00C70EF9"/>
    <w:rsid w:val="00C7105E"/>
    <w:rsid w:val="00C71C24"/>
    <w:rsid w:val="00C73D2E"/>
    <w:rsid w:val="00C762E3"/>
    <w:rsid w:val="00C76CB7"/>
    <w:rsid w:val="00C83FF3"/>
    <w:rsid w:val="00C85656"/>
    <w:rsid w:val="00C86CCD"/>
    <w:rsid w:val="00C93EEA"/>
    <w:rsid w:val="00C948DF"/>
    <w:rsid w:val="00C95B1E"/>
    <w:rsid w:val="00CA096F"/>
    <w:rsid w:val="00CA45F7"/>
    <w:rsid w:val="00CA5976"/>
    <w:rsid w:val="00CA696E"/>
    <w:rsid w:val="00CA7B94"/>
    <w:rsid w:val="00CB0A67"/>
    <w:rsid w:val="00CB6BA3"/>
    <w:rsid w:val="00CC1134"/>
    <w:rsid w:val="00CC150D"/>
    <w:rsid w:val="00CC6F9C"/>
    <w:rsid w:val="00CD1007"/>
    <w:rsid w:val="00CD40B3"/>
    <w:rsid w:val="00CE2AB7"/>
    <w:rsid w:val="00CE3AFB"/>
    <w:rsid w:val="00CE4D2C"/>
    <w:rsid w:val="00CE6692"/>
    <w:rsid w:val="00CF0034"/>
    <w:rsid w:val="00CF13AF"/>
    <w:rsid w:val="00CF1484"/>
    <w:rsid w:val="00CF455A"/>
    <w:rsid w:val="00D012AE"/>
    <w:rsid w:val="00D05740"/>
    <w:rsid w:val="00D0654D"/>
    <w:rsid w:val="00D0693F"/>
    <w:rsid w:val="00D06E57"/>
    <w:rsid w:val="00D07A84"/>
    <w:rsid w:val="00D10BFF"/>
    <w:rsid w:val="00D113F9"/>
    <w:rsid w:val="00D1216B"/>
    <w:rsid w:val="00D125B9"/>
    <w:rsid w:val="00D1467A"/>
    <w:rsid w:val="00D15A8A"/>
    <w:rsid w:val="00D16CD1"/>
    <w:rsid w:val="00D16EF7"/>
    <w:rsid w:val="00D21751"/>
    <w:rsid w:val="00D22240"/>
    <w:rsid w:val="00D241A4"/>
    <w:rsid w:val="00D24CAD"/>
    <w:rsid w:val="00D262BE"/>
    <w:rsid w:val="00D26455"/>
    <w:rsid w:val="00D30B52"/>
    <w:rsid w:val="00D30B77"/>
    <w:rsid w:val="00D31923"/>
    <w:rsid w:val="00D3380D"/>
    <w:rsid w:val="00D33D02"/>
    <w:rsid w:val="00D3417E"/>
    <w:rsid w:val="00D3517F"/>
    <w:rsid w:val="00D371C3"/>
    <w:rsid w:val="00D42C05"/>
    <w:rsid w:val="00D44505"/>
    <w:rsid w:val="00D530E9"/>
    <w:rsid w:val="00D53DE3"/>
    <w:rsid w:val="00D56022"/>
    <w:rsid w:val="00D56E08"/>
    <w:rsid w:val="00D62494"/>
    <w:rsid w:val="00D625F0"/>
    <w:rsid w:val="00D63AE9"/>
    <w:rsid w:val="00D63D82"/>
    <w:rsid w:val="00D65F47"/>
    <w:rsid w:val="00D66306"/>
    <w:rsid w:val="00D6756F"/>
    <w:rsid w:val="00D706AD"/>
    <w:rsid w:val="00D70F76"/>
    <w:rsid w:val="00D734F3"/>
    <w:rsid w:val="00D7374A"/>
    <w:rsid w:val="00D77D4D"/>
    <w:rsid w:val="00D84AAF"/>
    <w:rsid w:val="00D93C0B"/>
    <w:rsid w:val="00D94539"/>
    <w:rsid w:val="00D95165"/>
    <w:rsid w:val="00D9707D"/>
    <w:rsid w:val="00DA0AE5"/>
    <w:rsid w:val="00DA0B03"/>
    <w:rsid w:val="00DA331E"/>
    <w:rsid w:val="00DA7099"/>
    <w:rsid w:val="00DB0D98"/>
    <w:rsid w:val="00DB3869"/>
    <w:rsid w:val="00DB42D2"/>
    <w:rsid w:val="00DB6A32"/>
    <w:rsid w:val="00DB6E7C"/>
    <w:rsid w:val="00DC4CB0"/>
    <w:rsid w:val="00DC646F"/>
    <w:rsid w:val="00DC6CD1"/>
    <w:rsid w:val="00DC7B67"/>
    <w:rsid w:val="00DD0F41"/>
    <w:rsid w:val="00DD2832"/>
    <w:rsid w:val="00DD573B"/>
    <w:rsid w:val="00DD6A7B"/>
    <w:rsid w:val="00DE38DC"/>
    <w:rsid w:val="00DE4A1B"/>
    <w:rsid w:val="00DE4BE0"/>
    <w:rsid w:val="00DE520B"/>
    <w:rsid w:val="00DE55AE"/>
    <w:rsid w:val="00DF1B63"/>
    <w:rsid w:val="00DF33E0"/>
    <w:rsid w:val="00DF50F2"/>
    <w:rsid w:val="00DF673C"/>
    <w:rsid w:val="00DF724A"/>
    <w:rsid w:val="00E0089D"/>
    <w:rsid w:val="00E1012B"/>
    <w:rsid w:val="00E140D8"/>
    <w:rsid w:val="00E146EB"/>
    <w:rsid w:val="00E158A7"/>
    <w:rsid w:val="00E15DF6"/>
    <w:rsid w:val="00E22F02"/>
    <w:rsid w:val="00E23D8F"/>
    <w:rsid w:val="00E26D45"/>
    <w:rsid w:val="00E27476"/>
    <w:rsid w:val="00E33C09"/>
    <w:rsid w:val="00E36981"/>
    <w:rsid w:val="00E37C76"/>
    <w:rsid w:val="00E37DE3"/>
    <w:rsid w:val="00E40532"/>
    <w:rsid w:val="00E469C9"/>
    <w:rsid w:val="00E5324B"/>
    <w:rsid w:val="00E54C84"/>
    <w:rsid w:val="00E559D1"/>
    <w:rsid w:val="00E60870"/>
    <w:rsid w:val="00E623A0"/>
    <w:rsid w:val="00E63C0D"/>
    <w:rsid w:val="00E664BC"/>
    <w:rsid w:val="00E665E5"/>
    <w:rsid w:val="00E66B0D"/>
    <w:rsid w:val="00E672BC"/>
    <w:rsid w:val="00E67B42"/>
    <w:rsid w:val="00E71658"/>
    <w:rsid w:val="00E729E3"/>
    <w:rsid w:val="00E72CE2"/>
    <w:rsid w:val="00E73753"/>
    <w:rsid w:val="00E83005"/>
    <w:rsid w:val="00E833BD"/>
    <w:rsid w:val="00E839CF"/>
    <w:rsid w:val="00E92BDF"/>
    <w:rsid w:val="00EA041F"/>
    <w:rsid w:val="00EA126A"/>
    <w:rsid w:val="00EA7531"/>
    <w:rsid w:val="00EB06D2"/>
    <w:rsid w:val="00EB0DF3"/>
    <w:rsid w:val="00EB2628"/>
    <w:rsid w:val="00EB3F12"/>
    <w:rsid w:val="00EB56D9"/>
    <w:rsid w:val="00EB5A61"/>
    <w:rsid w:val="00EB7088"/>
    <w:rsid w:val="00EC045C"/>
    <w:rsid w:val="00EC11DD"/>
    <w:rsid w:val="00EC390C"/>
    <w:rsid w:val="00EC50F4"/>
    <w:rsid w:val="00EC5A2B"/>
    <w:rsid w:val="00EC76C4"/>
    <w:rsid w:val="00EC7B72"/>
    <w:rsid w:val="00ED7CD5"/>
    <w:rsid w:val="00EE1C37"/>
    <w:rsid w:val="00EE1C5F"/>
    <w:rsid w:val="00EE1CC2"/>
    <w:rsid w:val="00EE459E"/>
    <w:rsid w:val="00EE574C"/>
    <w:rsid w:val="00EE5CB8"/>
    <w:rsid w:val="00EE7731"/>
    <w:rsid w:val="00EF24BA"/>
    <w:rsid w:val="00EF3246"/>
    <w:rsid w:val="00EF53DD"/>
    <w:rsid w:val="00EF6D69"/>
    <w:rsid w:val="00EF7EE3"/>
    <w:rsid w:val="00F00F1A"/>
    <w:rsid w:val="00F03D18"/>
    <w:rsid w:val="00F04F96"/>
    <w:rsid w:val="00F078A4"/>
    <w:rsid w:val="00F10EB3"/>
    <w:rsid w:val="00F11DB4"/>
    <w:rsid w:val="00F1218A"/>
    <w:rsid w:val="00F13418"/>
    <w:rsid w:val="00F13C11"/>
    <w:rsid w:val="00F14095"/>
    <w:rsid w:val="00F1515A"/>
    <w:rsid w:val="00F154F0"/>
    <w:rsid w:val="00F15D4E"/>
    <w:rsid w:val="00F23FF8"/>
    <w:rsid w:val="00F31B9B"/>
    <w:rsid w:val="00F32B50"/>
    <w:rsid w:val="00F339AF"/>
    <w:rsid w:val="00F34828"/>
    <w:rsid w:val="00F41527"/>
    <w:rsid w:val="00F416C1"/>
    <w:rsid w:val="00F41C71"/>
    <w:rsid w:val="00F420B8"/>
    <w:rsid w:val="00F42793"/>
    <w:rsid w:val="00F42ACD"/>
    <w:rsid w:val="00F453B0"/>
    <w:rsid w:val="00F51380"/>
    <w:rsid w:val="00F51972"/>
    <w:rsid w:val="00F52B9B"/>
    <w:rsid w:val="00F55805"/>
    <w:rsid w:val="00F56527"/>
    <w:rsid w:val="00F57628"/>
    <w:rsid w:val="00F60809"/>
    <w:rsid w:val="00F637CD"/>
    <w:rsid w:val="00F66896"/>
    <w:rsid w:val="00F66F53"/>
    <w:rsid w:val="00F678AC"/>
    <w:rsid w:val="00F70FA7"/>
    <w:rsid w:val="00F73DCE"/>
    <w:rsid w:val="00F753CF"/>
    <w:rsid w:val="00F770AE"/>
    <w:rsid w:val="00F778BE"/>
    <w:rsid w:val="00F81E31"/>
    <w:rsid w:val="00F83960"/>
    <w:rsid w:val="00F83983"/>
    <w:rsid w:val="00F83B9A"/>
    <w:rsid w:val="00F83C6B"/>
    <w:rsid w:val="00F8664C"/>
    <w:rsid w:val="00F953A9"/>
    <w:rsid w:val="00F96089"/>
    <w:rsid w:val="00FA0AD6"/>
    <w:rsid w:val="00FA167C"/>
    <w:rsid w:val="00FA6151"/>
    <w:rsid w:val="00FA6FE1"/>
    <w:rsid w:val="00FB325E"/>
    <w:rsid w:val="00FB721C"/>
    <w:rsid w:val="00FB7582"/>
    <w:rsid w:val="00FB794B"/>
    <w:rsid w:val="00FB7CE8"/>
    <w:rsid w:val="00FC008C"/>
    <w:rsid w:val="00FC12CD"/>
    <w:rsid w:val="00FC1C81"/>
    <w:rsid w:val="00FC293A"/>
    <w:rsid w:val="00FC3A22"/>
    <w:rsid w:val="00FC48A0"/>
    <w:rsid w:val="00FC595C"/>
    <w:rsid w:val="00FC65B0"/>
    <w:rsid w:val="00FC7E71"/>
    <w:rsid w:val="00FD2462"/>
    <w:rsid w:val="00FD36C4"/>
    <w:rsid w:val="00FD44AA"/>
    <w:rsid w:val="00FE1F1D"/>
    <w:rsid w:val="00FE7C5B"/>
    <w:rsid w:val="00FF183E"/>
    <w:rsid w:val="00FF2772"/>
    <w:rsid w:val="00FF422C"/>
    <w:rsid w:val="00FF581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787D"/>
  <w15:chartTrackingRefBased/>
  <w15:docId w15:val="{EF43647A-F317-435E-8339-5BBEB0A8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E69"/>
    <w:pPr>
      <w:spacing w:after="120"/>
    </w:pPr>
  </w:style>
  <w:style w:type="paragraph" w:styleId="Heading1">
    <w:name w:val="heading 1"/>
    <w:basedOn w:val="Normal"/>
    <w:next w:val="Normal"/>
    <w:link w:val="Heading1Char"/>
    <w:uiPriority w:val="9"/>
    <w:qFormat/>
    <w:rsid w:val="001B1050"/>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1B1050"/>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1B1050"/>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semiHidden/>
    <w:unhideWhenUsed/>
    <w:qFormat/>
    <w:rsid w:val="00D121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50"/>
    <w:rPr>
      <w:rFonts w:ascii="Calibri" w:eastAsiaTheme="majorEastAsia" w:hAnsi="Calibri" w:cstheme="majorBidi"/>
      <w:b/>
      <w:sz w:val="32"/>
      <w:szCs w:val="32"/>
    </w:rPr>
  </w:style>
  <w:style w:type="paragraph" w:styleId="ListParagraph">
    <w:name w:val="List Paragraph"/>
    <w:basedOn w:val="Normal"/>
    <w:link w:val="ListParagraphChar"/>
    <w:uiPriority w:val="34"/>
    <w:qFormat/>
    <w:rsid w:val="0006645C"/>
    <w:pPr>
      <w:ind w:left="720"/>
      <w:contextualSpacing/>
    </w:pPr>
  </w:style>
  <w:style w:type="table" w:styleId="TableGrid">
    <w:name w:val="Table Grid"/>
    <w:basedOn w:val="TableNormal"/>
    <w:uiPriority w:val="39"/>
    <w:rsid w:val="0006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45C"/>
    <w:pPr>
      <w:spacing w:after="0" w:line="240" w:lineRule="auto"/>
    </w:pPr>
    <w:rPr>
      <w:rFonts w:ascii="Palatino Linotype" w:hAnsi="Palatino Linotype"/>
    </w:rPr>
  </w:style>
  <w:style w:type="character" w:customStyle="1" w:styleId="ListParagraphChar">
    <w:name w:val="List Paragraph Char"/>
    <w:link w:val="ListParagraph"/>
    <w:uiPriority w:val="34"/>
    <w:locked/>
    <w:rsid w:val="0006645C"/>
  </w:style>
  <w:style w:type="paragraph" w:customStyle="1" w:styleId="Default">
    <w:name w:val="Default"/>
    <w:rsid w:val="0006645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A400AE"/>
  </w:style>
  <w:style w:type="character" w:customStyle="1" w:styleId="BodyTextChar">
    <w:name w:val="Body Text Char"/>
    <w:basedOn w:val="DefaultParagraphFont"/>
    <w:link w:val="BodyText"/>
    <w:uiPriority w:val="1"/>
    <w:rsid w:val="00A400AE"/>
  </w:style>
  <w:style w:type="paragraph" w:customStyle="1" w:styleId="TitleDetailDetail">
    <w:name w:val="TitleDetailDetail"/>
    <w:basedOn w:val="Normal"/>
    <w:link w:val="TitleDetailDetailZchn"/>
    <w:rsid w:val="00A400AE"/>
    <w:pPr>
      <w:spacing w:after="0" w:line="240" w:lineRule="auto"/>
    </w:pPr>
    <w:rPr>
      <w:rFonts w:ascii="Calibri" w:hAnsi="Calibri"/>
      <w:sz w:val="24"/>
      <w:szCs w:val="24"/>
    </w:rPr>
  </w:style>
  <w:style w:type="character" w:customStyle="1" w:styleId="TitleDetailDetailZchn">
    <w:name w:val="TitleDetailDetail Zchn"/>
    <w:basedOn w:val="DefaultParagraphFont"/>
    <w:link w:val="TitleDetailDetail"/>
    <w:rsid w:val="00A400AE"/>
    <w:rPr>
      <w:rFonts w:ascii="Calibri" w:hAnsi="Calibri"/>
      <w:sz w:val="24"/>
      <w:szCs w:val="24"/>
    </w:rPr>
  </w:style>
  <w:style w:type="table" w:styleId="LightList-Accent5">
    <w:name w:val="Light List Accent 5"/>
    <w:basedOn w:val="TableNormal"/>
    <w:uiPriority w:val="61"/>
    <w:semiHidden/>
    <w:unhideWhenUsed/>
    <w:rsid w:val="00A400A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Header">
    <w:name w:val="header"/>
    <w:aliases w:val="h1"/>
    <w:basedOn w:val="Normal"/>
    <w:link w:val="HeaderChar"/>
    <w:uiPriority w:val="99"/>
    <w:unhideWhenUsed/>
    <w:rsid w:val="00A400AE"/>
    <w:pPr>
      <w:tabs>
        <w:tab w:val="center" w:pos="4680"/>
        <w:tab w:val="right" w:pos="9360"/>
      </w:tabs>
      <w:spacing w:after="0" w:line="240" w:lineRule="auto"/>
    </w:pPr>
  </w:style>
  <w:style w:type="character" w:customStyle="1" w:styleId="HeaderChar">
    <w:name w:val="Header Char"/>
    <w:aliases w:val="h1 Char"/>
    <w:basedOn w:val="DefaultParagraphFont"/>
    <w:link w:val="Header"/>
    <w:uiPriority w:val="99"/>
    <w:rsid w:val="00A400AE"/>
  </w:style>
  <w:style w:type="paragraph" w:styleId="Footer">
    <w:name w:val="footer"/>
    <w:basedOn w:val="Normal"/>
    <w:link w:val="FooterChar"/>
    <w:uiPriority w:val="99"/>
    <w:unhideWhenUsed/>
    <w:rsid w:val="00A4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0AE"/>
  </w:style>
  <w:style w:type="table" w:customStyle="1" w:styleId="HeaderTable">
    <w:name w:val="Header Table"/>
    <w:basedOn w:val="TableNormal"/>
    <w:rsid w:val="00EC390C"/>
    <w:pPr>
      <w:spacing w:after="0" w:line="240" w:lineRule="auto"/>
    </w:pPr>
    <w:rPr>
      <w:rFonts w:eastAsiaTheme="minorEastAsia"/>
    </w:rPr>
    <w:tblPr>
      <w:tblBorders>
        <w:bottom w:val="dotted" w:sz="4" w:space="0" w:color="595959" w:themeColor="text1" w:themeTint="A6"/>
      </w:tblBorders>
      <w:tblCellMar>
        <w:left w:w="0" w:type="dxa"/>
        <w:right w:w="0" w:type="dxa"/>
      </w:tblCellMar>
    </w:tblPr>
    <w:tcPr>
      <w:vAlign w:val="bottom"/>
    </w:tcPr>
  </w:style>
  <w:style w:type="paragraph" w:customStyle="1" w:styleId="Header-Right">
    <w:name w:val="Header - Right"/>
    <w:basedOn w:val="Header"/>
    <w:rsid w:val="00EC390C"/>
    <w:pPr>
      <w:tabs>
        <w:tab w:val="clear" w:pos="4680"/>
        <w:tab w:val="clear" w:pos="9360"/>
      </w:tabs>
      <w:spacing w:after="60"/>
      <w:jc w:val="right"/>
    </w:pPr>
    <w:rPr>
      <w:rFonts w:eastAsiaTheme="minorEastAsia"/>
      <w:color w:val="5B9BD5" w:themeColor="accent1"/>
      <w:sz w:val="16"/>
      <w:szCs w:val="36"/>
    </w:rPr>
  </w:style>
  <w:style w:type="paragraph" w:customStyle="1" w:styleId="Header-Left">
    <w:name w:val="Header-Left"/>
    <w:basedOn w:val="Header"/>
    <w:rsid w:val="00EC390C"/>
    <w:pPr>
      <w:tabs>
        <w:tab w:val="clear" w:pos="4680"/>
        <w:tab w:val="clear" w:pos="9360"/>
      </w:tabs>
      <w:spacing w:after="60"/>
    </w:pPr>
    <w:rPr>
      <w:rFonts w:eastAsiaTheme="minorEastAsia"/>
      <w:color w:val="5B9BD5" w:themeColor="accent1"/>
      <w:sz w:val="36"/>
      <w:szCs w:val="36"/>
    </w:rPr>
  </w:style>
  <w:style w:type="paragraph" w:styleId="Title">
    <w:name w:val="Title"/>
    <w:basedOn w:val="Normal"/>
    <w:next w:val="Normal"/>
    <w:link w:val="TitleChar"/>
    <w:rsid w:val="00455E8D"/>
    <w:pPr>
      <w:spacing w:after="0" w:line="240" w:lineRule="auto"/>
      <w:jc w:val="center"/>
    </w:pPr>
    <w:rPr>
      <w:rFonts w:ascii="Times New Roman" w:hAnsi="Times New Roman"/>
      <w:b/>
      <w:sz w:val="40"/>
      <w:szCs w:val="40"/>
    </w:rPr>
  </w:style>
  <w:style w:type="character" w:customStyle="1" w:styleId="TitleChar">
    <w:name w:val="Title Char"/>
    <w:basedOn w:val="DefaultParagraphFont"/>
    <w:link w:val="Title"/>
    <w:rsid w:val="00455E8D"/>
    <w:rPr>
      <w:rFonts w:ascii="Times New Roman" w:hAnsi="Times New Roman"/>
      <w:b/>
      <w:sz w:val="40"/>
      <w:szCs w:val="40"/>
    </w:rPr>
  </w:style>
  <w:style w:type="table" w:customStyle="1" w:styleId="CoverTable">
    <w:name w:val="Cover Table"/>
    <w:basedOn w:val="TableNormal"/>
    <w:rsid w:val="00EC390C"/>
    <w:pPr>
      <w:spacing w:after="0" w:line="240" w:lineRule="auto"/>
    </w:pPr>
    <w:rPr>
      <w:rFonts w:eastAsiaTheme="minorEastAsia"/>
    </w:rPr>
    <w:tblPr/>
    <w:tcPr>
      <w:shd w:val="clear" w:color="auto" w:fill="44546A" w:themeFill="text2"/>
      <w:vAlign w:val="center"/>
    </w:tcPr>
  </w:style>
  <w:style w:type="table" w:customStyle="1" w:styleId="TableGrid1">
    <w:name w:val="Table Grid1"/>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B1050"/>
    <w:rPr>
      <w:rFonts w:ascii="Calibri" w:eastAsiaTheme="majorEastAsia" w:hAnsi="Calibri" w:cstheme="majorBidi"/>
      <w:b/>
      <w:sz w:val="26"/>
      <w:szCs w:val="26"/>
    </w:rPr>
  </w:style>
  <w:style w:type="paragraph" w:styleId="BalloonText">
    <w:name w:val="Balloon Text"/>
    <w:basedOn w:val="Normal"/>
    <w:link w:val="BalloonTextChar"/>
    <w:uiPriority w:val="99"/>
    <w:semiHidden/>
    <w:unhideWhenUsed/>
    <w:rsid w:val="0001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3D"/>
    <w:rPr>
      <w:rFonts w:ascii="Segoe UI" w:hAnsi="Segoe UI" w:cs="Segoe UI"/>
      <w:sz w:val="18"/>
      <w:szCs w:val="18"/>
    </w:rPr>
  </w:style>
  <w:style w:type="character" w:styleId="Hyperlink">
    <w:name w:val="Hyperlink"/>
    <w:basedOn w:val="DefaultParagraphFont"/>
    <w:uiPriority w:val="99"/>
    <w:unhideWhenUsed/>
    <w:rsid w:val="00B41397"/>
    <w:rPr>
      <w:color w:val="0563C1" w:themeColor="hyperlink"/>
      <w:u w:val="single"/>
    </w:rPr>
  </w:style>
  <w:style w:type="table" w:customStyle="1" w:styleId="TableGrid4">
    <w:name w:val="Table Grid4"/>
    <w:basedOn w:val="TableNormal"/>
    <w:next w:val="TableGrid"/>
    <w:uiPriority w:val="59"/>
    <w:rsid w:val="00B4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1F7"/>
    <w:rPr>
      <w:sz w:val="16"/>
      <w:szCs w:val="16"/>
    </w:rPr>
  </w:style>
  <w:style w:type="paragraph" w:styleId="CommentText">
    <w:name w:val="annotation text"/>
    <w:basedOn w:val="Normal"/>
    <w:link w:val="CommentTextChar"/>
    <w:uiPriority w:val="99"/>
    <w:semiHidden/>
    <w:unhideWhenUsed/>
    <w:rsid w:val="002E71F7"/>
    <w:pPr>
      <w:spacing w:line="240" w:lineRule="auto"/>
    </w:pPr>
    <w:rPr>
      <w:sz w:val="20"/>
      <w:szCs w:val="20"/>
    </w:rPr>
  </w:style>
  <w:style w:type="character" w:customStyle="1" w:styleId="CommentTextChar">
    <w:name w:val="Comment Text Char"/>
    <w:basedOn w:val="DefaultParagraphFont"/>
    <w:link w:val="CommentText"/>
    <w:uiPriority w:val="99"/>
    <w:semiHidden/>
    <w:rsid w:val="002E71F7"/>
    <w:rPr>
      <w:sz w:val="20"/>
      <w:szCs w:val="20"/>
    </w:rPr>
  </w:style>
  <w:style w:type="paragraph" w:styleId="CommentSubject">
    <w:name w:val="annotation subject"/>
    <w:basedOn w:val="CommentText"/>
    <w:next w:val="CommentText"/>
    <w:link w:val="CommentSubjectChar"/>
    <w:uiPriority w:val="99"/>
    <w:semiHidden/>
    <w:unhideWhenUsed/>
    <w:rsid w:val="002E71F7"/>
    <w:rPr>
      <w:b/>
      <w:bCs/>
    </w:rPr>
  </w:style>
  <w:style w:type="character" w:customStyle="1" w:styleId="CommentSubjectChar">
    <w:name w:val="Comment Subject Char"/>
    <w:basedOn w:val="CommentTextChar"/>
    <w:link w:val="CommentSubject"/>
    <w:uiPriority w:val="99"/>
    <w:semiHidden/>
    <w:rsid w:val="002E71F7"/>
    <w:rPr>
      <w:b/>
      <w:bCs/>
      <w:sz w:val="20"/>
      <w:szCs w:val="20"/>
    </w:rPr>
  </w:style>
  <w:style w:type="character" w:customStyle="1" w:styleId="eventname">
    <w:name w:val="eventname"/>
    <w:basedOn w:val="DefaultParagraphFont"/>
    <w:rsid w:val="00FC293A"/>
  </w:style>
  <w:style w:type="character" w:customStyle="1" w:styleId="Heading3Char">
    <w:name w:val="Heading 3 Char"/>
    <w:basedOn w:val="DefaultParagraphFont"/>
    <w:link w:val="Heading3"/>
    <w:uiPriority w:val="9"/>
    <w:rsid w:val="001B1050"/>
    <w:rPr>
      <w:rFonts w:ascii="Calibri" w:eastAsiaTheme="majorEastAsia" w:hAnsi="Calibri" w:cstheme="majorBidi"/>
      <w:b/>
      <w:sz w:val="24"/>
      <w:szCs w:val="24"/>
    </w:rPr>
  </w:style>
  <w:style w:type="paragraph" w:styleId="Caption">
    <w:name w:val="caption"/>
    <w:basedOn w:val="Normal"/>
    <w:next w:val="Normal"/>
    <w:uiPriority w:val="35"/>
    <w:unhideWhenUsed/>
    <w:qFormat/>
    <w:rsid w:val="00424E73"/>
    <w:pPr>
      <w:spacing w:after="200" w:line="240" w:lineRule="auto"/>
    </w:pPr>
    <w:rPr>
      <w:i/>
      <w:iCs/>
      <w:color w:val="44546A" w:themeColor="text2"/>
      <w:sz w:val="18"/>
      <w:szCs w:val="18"/>
    </w:rPr>
  </w:style>
  <w:style w:type="paragraph" w:styleId="NormalWeb">
    <w:name w:val="Normal (Web)"/>
    <w:basedOn w:val="Normal"/>
    <w:uiPriority w:val="99"/>
    <w:unhideWhenUsed/>
    <w:rsid w:val="00A6180D"/>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rsid w:val="006804D1"/>
    <w:rPr>
      <w:b/>
      <w:bCs/>
    </w:rPr>
  </w:style>
  <w:style w:type="paragraph" w:styleId="FootnoteText">
    <w:name w:val="footnote text"/>
    <w:basedOn w:val="Normal"/>
    <w:link w:val="FootnoteTextChar"/>
    <w:uiPriority w:val="99"/>
    <w:unhideWhenUsed/>
    <w:rsid w:val="00A76292"/>
    <w:pPr>
      <w:spacing w:after="0" w:line="240" w:lineRule="auto"/>
    </w:pPr>
    <w:rPr>
      <w:sz w:val="20"/>
      <w:szCs w:val="20"/>
    </w:rPr>
  </w:style>
  <w:style w:type="character" w:customStyle="1" w:styleId="FootnoteTextChar">
    <w:name w:val="Footnote Text Char"/>
    <w:basedOn w:val="DefaultParagraphFont"/>
    <w:link w:val="FootnoteText"/>
    <w:uiPriority w:val="99"/>
    <w:rsid w:val="00A76292"/>
    <w:rPr>
      <w:sz w:val="20"/>
      <w:szCs w:val="20"/>
    </w:rPr>
  </w:style>
  <w:style w:type="character" w:styleId="FootnoteReference">
    <w:name w:val="footnote reference"/>
    <w:basedOn w:val="DefaultParagraphFont"/>
    <w:uiPriority w:val="99"/>
    <w:semiHidden/>
    <w:unhideWhenUsed/>
    <w:rsid w:val="00A76292"/>
    <w:rPr>
      <w:vertAlign w:val="superscript"/>
    </w:rPr>
  </w:style>
  <w:style w:type="character" w:styleId="PlaceholderText">
    <w:name w:val="Placeholder Text"/>
    <w:basedOn w:val="DefaultParagraphFont"/>
    <w:uiPriority w:val="99"/>
    <w:semiHidden/>
    <w:rsid w:val="00CD1007"/>
    <w:rPr>
      <w:rFonts w:cs="Times New Roman"/>
      <w:color w:val="808080"/>
    </w:rPr>
  </w:style>
  <w:style w:type="paragraph" w:styleId="Revision">
    <w:name w:val="Revision"/>
    <w:hidden/>
    <w:uiPriority w:val="99"/>
    <w:semiHidden/>
    <w:rsid w:val="00C478AD"/>
    <w:pPr>
      <w:spacing w:after="0" w:line="240" w:lineRule="auto"/>
    </w:pPr>
  </w:style>
  <w:style w:type="character" w:styleId="BookTitle">
    <w:name w:val="Book Title"/>
    <w:basedOn w:val="DefaultParagraphFont"/>
    <w:uiPriority w:val="33"/>
    <w:qFormat/>
    <w:rsid w:val="00950A52"/>
    <w:rPr>
      <w:b/>
      <w:bCs/>
      <w:smallCaps/>
      <w:spacing w:val="5"/>
    </w:rPr>
  </w:style>
  <w:style w:type="table" w:styleId="GridTable2">
    <w:name w:val="Grid Table 2"/>
    <w:basedOn w:val="TableNormal"/>
    <w:uiPriority w:val="47"/>
    <w:rsid w:val="00950A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79650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D1216B"/>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0B4279"/>
    <w:pPr>
      <w:outlineLvl w:val="9"/>
    </w:pPr>
  </w:style>
  <w:style w:type="paragraph" w:styleId="TOC1">
    <w:name w:val="toc 1"/>
    <w:basedOn w:val="Normal"/>
    <w:next w:val="Normal"/>
    <w:autoRedefine/>
    <w:uiPriority w:val="39"/>
    <w:unhideWhenUsed/>
    <w:rsid w:val="000B4279"/>
    <w:pPr>
      <w:spacing w:after="100"/>
    </w:pPr>
  </w:style>
  <w:style w:type="paragraph" w:styleId="TOC2">
    <w:name w:val="toc 2"/>
    <w:basedOn w:val="Normal"/>
    <w:next w:val="Normal"/>
    <w:autoRedefine/>
    <w:uiPriority w:val="39"/>
    <w:unhideWhenUsed/>
    <w:rsid w:val="000B4279"/>
    <w:pPr>
      <w:spacing w:after="100"/>
      <w:ind w:left="220"/>
    </w:pPr>
  </w:style>
  <w:style w:type="paragraph" w:styleId="TOC3">
    <w:name w:val="toc 3"/>
    <w:basedOn w:val="Normal"/>
    <w:next w:val="Normal"/>
    <w:autoRedefine/>
    <w:uiPriority w:val="39"/>
    <w:unhideWhenUsed/>
    <w:rsid w:val="000B4279"/>
    <w:pPr>
      <w:spacing w:after="100"/>
      <w:ind w:left="440"/>
    </w:pPr>
  </w:style>
  <w:style w:type="paragraph" w:styleId="Subtitle">
    <w:name w:val="Subtitle"/>
    <w:basedOn w:val="Normal"/>
    <w:next w:val="Normal"/>
    <w:link w:val="SubtitleChar"/>
    <w:uiPriority w:val="11"/>
    <w:qFormat/>
    <w:rsid w:val="00455E8D"/>
    <w:pPr>
      <w:spacing w:after="400" w:line="240" w:lineRule="auto"/>
      <w:jc w:val="center"/>
    </w:pPr>
    <w:rPr>
      <w:rFonts w:ascii="Times New Roman" w:hAnsi="Times New Roman"/>
      <w:sz w:val="40"/>
      <w:szCs w:val="40"/>
    </w:rPr>
  </w:style>
  <w:style w:type="character" w:customStyle="1" w:styleId="SubtitleChar">
    <w:name w:val="Subtitle Char"/>
    <w:basedOn w:val="DefaultParagraphFont"/>
    <w:link w:val="Subtitle"/>
    <w:uiPriority w:val="11"/>
    <w:rsid w:val="00455E8D"/>
    <w:rPr>
      <w:rFonts w:ascii="Times New Roman" w:hAnsi="Times New Roman"/>
      <w:sz w:val="40"/>
      <w:szCs w:val="40"/>
    </w:rPr>
  </w:style>
  <w:style w:type="character" w:styleId="FollowedHyperlink">
    <w:name w:val="FollowedHyperlink"/>
    <w:basedOn w:val="DefaultParagraphFont"/>
    <w:uiPriority w:val="99"/>
    <w:semiHidden/>
    <w:unhideWhenUsed/>
    <w:rsid w:val="00E664BC"/>
    <w:rPr>
      <w:color w:val="954F72" w:themeColor="followedHyperlink"/>
      <w:u w:val="single"/>
    </w:rPr>
  </w:style>
  <w:style w:type="character" w:styleId="SubtleEmphasis">
    <w:name w:val="Subtle Emphasis"/>
    <w:basedOn w:val="DefaultParagraphFont"/>
    <w:uiPriority w:val="19"/>
    <w:qFormat/>
    <w:rsid w:val="000100FA"/>
    <w:rPr>
      <w:rFonts w:asciiTheme="minorHAnsi" w:hAnsiTheme="minorHAns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490">
      <w:bodyDiv w:val="1"/>
      <w:marLeft w:val="0"/>
      <w:marRight w:val="0"/>
      <w:marTop w:val="0"/>
      <w:marBottom w:val="0"/>
      <w:divBdr>
        <w:top w:val="none" w:sz="0" w:space="0" w:color="auto"/>
        <w:left w:val="none" w:sz="0" w:space="0" w:color="auto"/>
        <w:bottom w:val="none" w:sz="0" w:space="0" w:color="auto"/>
        <w:right w:val="none" w:sz="0" w:space="0" w:color="auto"/>
      </w:divBdr>
    </w:div>
    <w:div w:id="23333554">
      <w:bodyDiv w:val="1"/>
      <w:marLeft w:val="0"/>
      <w:marRight w:val="0"/>
      <w:marTop w:val="0"/>
      <w:marBottom w:val="0"/>
      <w:divBdr>
        <w:top w:val="none" w:sz="0" w:space="0" w:color="auto"/>
        <w:left w:val="none" w:sz="0" w:space="0" w:color="auto"/>
        <w:bottom w:val="none" w:sz="0" w:space="0" w:color="auto"/>
        <w:right w:val="none" w:sz="0" w:space="0" w:color="auto"/>
      </w:divBdr>
    </w:div>
    <w:div w:id="69085260">
      <w:bodyDiv w:val="1"/>
      <w:marLeft w:val="0"/>
      <w:marRight w:val="0"/>
      <w:marTop w:val="0"/>
      <w:marBottom w:val="0"/>
      <w:divBdr>
        <w:top w:val="none" w:sz="0" w:space="0" w:color="auto"/>
        <w:left w:val="none" w:sz="0" w:space="0" w:color="auto"/>
        <w:bottom w:val="none" w:sz="0" w:space="0" w:color="auto"/>
        <w:right w:val="none" w:sz="0" w:space="0" w:color="auto"/>
      </w:divBdr>
    </w:div>
    <w:div w:id="217325595">
      <w:bodyDiv w:val="1"/>
      <w:marLeft w:val="0"/>
      <w:marRight w:val="0"/>
      <w:marTop w:val="0"/>
      <w:marBottom w:val="0"/>
      <w:divBdr>
        <w:top w:val="none" w:sz="0" w:space="0" w:color="auto"/>
        <w:left w:val="none" w:sz="0" w:space="0" w:color="auto"/>
        <w:bottom w:val="none" w:sz="0" w:space="0" w:color="auto"/>
        <w:right w:val="none" w:sz="0" w:space="0" w:color="auto"/>
      </w:divBdr>
    </w:div>
    <w:div w:id="304817550">
      <w:bodyDiv w:val="1"/>
      <w:marLeft w:val="0"/>
      <w:marRight w:val="0"/>
      <w:marTop w:val="0"/>
      <w:marBottom w:val="0"/>
      <w:divBdr>
        <w:top w:val="none" w:sz="0" w:space="0" w:color="auto"/>
        <w:left w:val="none" w:sz="0" w:space="0" w:color="auto"/>
        <w:bottom w:val="none" w:sz="0" w:space="0" w:color="auto"/>
        <w:right w:val="none" w:sz="0" w:space="0" w:color="auto"/>
      </w:divBdr>
    </w:div>
    <w:div w:id="429735797">
      <w:bodyDiv w:val="1"/>
      <w:marLeft w:val="0"/>
      <w:marRight w:val="0"/>
      <w:marTop w:val="0"/>
      <w:marBottom w:val="0"/>
      <w:divBdr>
        <w:top w:val="none" w:sz="0" w:space="0" w:color="auto"/>
        <w:left w:val="none" w:sz="0" w:space="0" w:color="auto"/>
        <w:bottom w:val="none" w:sz="0" w:space="0" w:color="auto"/>
        <w:right w:val="none" w:sz="0" w:space="0" w:color="auto"/>
      </w:divBdr>
    </w:div>
    <w:div w:id="472451566">
      <w:bodyDiv w:val="1"/>
      <w:marLeft w:val="0"/>
      <w:marRight w:val="0"/>
      <w:marTop w:val="0"/>
      <w:marBottom w:val="0"/>
      <w:divBdr>
        <w:top w:val="none" w:sz="0" w:space="0" w:color="auto"/>
        <w:left w:val="none" w:sz="0" w:space="0" w:color="auto"/>
        <w:bottom w:val="none" w:sz="0" w:space="0" w:color="auto"/>
        <w:right w:val="none" w:sz="0" w:space="0" w:color="auto"/>
      </w:divBdr>
    </w:div>
    <w:div w:id="488135966">
      <w:bodyDiv w:val="1"/>
      <w:marLeft w:val="0"/>
      <w:marRight w:val="0"/>
      <w:marTop w:val="0"/>
      <w:marBottom w:val="0"/>
      <w:divBdr>
        <w:top w:val="none" w:sz="0" w:space="0" w:color="auto"/>
        <w:left w:val="none" w:sz="0" w:space="0" w:color="auto"/>
        <w:bottom w:val="none" w:sz="0" w:space="0" w:color="auto"/>
        <w:right w:val="none" w:sz="0" w:space="0" w:color="auto"/>
      </w:divBdr>
    </w:div>
    <w:div w:id="585000544">
      <w:bodyDiv w:val="1"/>
      <w:marLeft w:val="0"/>
      <w:marRight w:val="0"/>
      <w:marTop w:val="0"/>
      <w:marBottom w:val="0"/>
      <w:divBdr>
        <w:top w:val="none" w:sz="0" w:space="0" w:color="auto"/>
        <w:left w:val="none" w:sz="0" w:space="0" w:color="auto"/>
        <w:bottom w:val="none" w:sz="0" w:space="0" w:color="auto"/>
        <w:right w:val="none" w:sz="0" w:space="0" w:color="auto"/>
      </w:divBdr>
    </w:div>
    <w:div w:id="624890388">
      <w:bodyDiv w:val="1"/>
      <w:marLeft w:val="0"/>
      <w:marRight w:val="0"/>
      <w:marTop w:val="0"/>
      <w:marBottom w:val="0"/>
      <w:divBdr>
        <w:top w:val="none" w:sz="0" w:space="0" w:color="auto"/>
        <w:left w:val="none" w:sz="0" w:space="0" w:color="auto"/>
        <w:bottom w:val="none" w:sz="0" w:space="0" w:color="auto"/>
        <w:right w:val="none" w:sz="0" w:space="0" w:color="auto"/>
      </w:divBdr>
    </w:div>
    <w:div w:id="652880067">
      <w:bodyDiv w:val="1"/>
      <w:marLeft w:val="0"/>
      <w:marRight w:val="0"/>
      <w:marTop w:val="0"/>
      <w:marBottom w:val="0"/>
      <w:divBdr>
        <w:top w:val="none" w:sz="0" w:space="0" w:color="auto"/>
        <w:left w:val="none" w:sz="0" w:space="0" w:color="auto"/>
        <w:bottom w:val="none" w:sz="0" w:space="0" w:color="auto"/>
        <w:right w:val="none" w:sz="0" w:space="0" w:color="auto"/>
      </w:divBdr>
    </w:div>
    <w:div w:id="866060575">
      <w:bodyDiv w:val="1"/>
      <w:marLeft w:val="0"/>
      <w:marRight w:val="0"/>
      <w:marTop w:val="0"/>
      <w:marBottom w:val="0"/>
      <w:divBdr>
        <w:top w:val="none" w:sz="0" w:space="0" w:color="auto"/>
        <w:left w:val="none" w:sz="0" w:space="0" w:color="auto"/>
        <w:bottom w:val="none" w:sz="0" w:space="0" w:color="auto"/>
        <w:right w:val="none" w:sz="0" w:space="0" w:color="auto"/>
      </w:divBdr>
    </w:div>
    <w:div w:id="890460914">
      <w:bodyDiv w:val="1"/>
      <w:marLeft w:val="0"/>
      <w:marRight w:val="0"/>
      <w:marTop w:val="0"/>
      <w:marBottom w:val="0"/>
      <w:divBdr>
        <w:top w:val="none" w:sz="0" w:space="0" w:color="auto"/>
        <w:left w:val="none" w:sz="0" w:space="0" w:color="auto"/>
        <w:bottom w:val="none" w:sz="0" w:space="0" w:color="auto"/>
        <w:right w:val="none" w:sz="0" w:space="0" w:color="auto"/>
      </w:divBdr>
    </w:div>
    <w:div w:id="1045177454">
      <w:bodyDiv w:val="1"/>
      <w:marLeft w:val="0"/>
      <w:marRight w:val="0"/>
      <w:marTop w:val="0"/>
      <w:marBottom w:val="0"/>
      <w:divBdr>
        <w:top w:val="none" w:sz="0" w:space="0" w:color="auto"/>
        <w:left w:val="none" w:sz="0" w:space="0" w:color="auto"/>
        <w:bottom w:val="none" w:sz="0" w:space="0" w:color="auto"/>
        <w:right w:val="none" w:sz="0" w:space="0" w:color="auto"/>
      </w:divBdr>
    </w:div>
    <w:div w:id="1378971006">
      <w:bodyDiv w:val="1"/>
      <w:marLeft w:val="0"/>
      <w:marRight w:val="0"/>
      <w:marTop w:val="0"/>
      <w:marBottom w:val="0"/>
      <w:divBdr>
        <w:top w:val="none" w:sz="0" w:space="0" w:color="auto"/>
        <w:left w:val="none" w:sz="0" w:space="0" w:color="auto"/>
        <w:bottom w:val="none" w:sz="0" w:space="0" w:color="auto"/>
        <w:right w:val="none" w:sz="0" w:space="0" w:color="auto"/>
      </w:divBdr>
    </w:div>
    <w:div w:id="1411342160">
      <w:bodyDiv w:val="1"/>
      <w:marLeft w:val="0"/>
      <w:marRight w:val="0"/>
      <w:marTop w:val="0"/>
      <w:marBottom w:val="0"/>
      <w:divBdr>
        <w:top w:val="none" w:sz="0" w:space="0" w:color="auto"/>
        <w:left w:val="none" w:sz="0" w:space="0" w:color="auto"/>
        <w:bottom w:val="none" w:sz="0" w:space="0" w:color="auto"/>
        <w:right w:val="none" w:sz="0" w:space="0" w:color="auto"/>
      </w:divBdr>
    </w:div>
    <w:div w:id="1441341972">
      <w:bodyDiv w:val="1"/>
      <w:marLeft w:val="0"/>
      <w:marRight w:val="0"/>
      <w:marTop w:val="0"/>
      <w:marBottom w:val="0"/>
      <w:divBdr>
        <w:top w:val="none" w:sz="0" w:space="0" w:color="auto"/>
        <w:left w:val="none" w:sz="0" w:space="0" w:color="auto"/>
        <w:bottom w:val="none" w:sz="0" w:space="0" w:color="auto"/>
        <w:right w:val="none" w:sz="0" w:space="0" w:color="auto"/>
      </w:divBdr>
    </w:div>
    <w:div w:id="1465614216">
      <w:bodyDiv w:val="1"/>
      <w:marLeft w:val="0"/>
      <w:marRight w:val="0"/>
      <w:marTop w:val="0"/>
      <w:marBottom w:val="0"/>
      <w:divBdr>
        <w:top w:val="none" w:sz="0" w:space="0" w:color="auto"/>
        <w:left w:val="none" w:sz="0" w:space="0" w:color="auto"/>
        <w:bottom w:val="none" w:sz="0" w:space="0" w:color="auto"/>
        <w:right w:val="none" w:sz="0" w:space="0" w:color="auto"/>
      </w:divBdr>
    </w:div>
    <w:div w:id="1556042625">
      <w:bodyDiv w:val="1"/>
      <w:marLeft w:val="0"/>
      <w:marRight w:val="0"/>
      <w:marTop w:val="0"/>
      <w:marBottom w:val="0"/>
      <w:divBdr>
        <w:top w:val="none" w:sz="0" w:space="0" w:color="auto"/>
        <w:left w:val="none" w:sz="0" w:space="0" w:color="auto"/>
        <w:bottom w:val="none" w:sz="0" w:space="0" w:color="auto"/>
        <w:right w:val="none" w:sz="0" w:space="0" w:color="auto"/>
      </w:divBdr>
    </w:div>
    <w:div w:id="1607615921">
      <w:bodyDiv w:val="1"/>
      <w:marLeft w:val="0"/>
      <w:marRight w:val="0"/>
      <w:marTop w:val="0"/>
      <w:marBottom w:val="0"/>
      <w:divBdr>
        <w:top w:val="none" w:sz="0" w:space="0" w:color="auto"/>
        <w:left w:val="none" w:sz="0" w:space="0" w:color="auto"/>
        <w:bottom w:val="none" w:sz="0" w:space="0" w:color="auto"/>
        <w:right w:val="none" w:sz="0" w:space="0" w:color="auto"/>
      </w:divBdr>
    </w:div>
    <w:div w:id="1635327370">
      <w:bodyDiv w:val="1"/>
      <w:marLeft w:val="0"/>
      <w:marRight w:val="0"/>
      <w:marTop w:val="0"/>
      <w:marBottom w:val="0"/>
      <w:divBdr>
        <w:top w:val="none" w:sz="0" w:space="0" w:color="auto"/>
        <w:left w:val="none" w:sz="0" w:space="0" w:color="auto"/>
        <w:bottom w:val="none" w:sz="0" w:space="0" w:color="auto"/>
        <w:right w:val="none" w:sz="0" w:space="0" w:color="auto"/>
      </w:divBdr>
    </w:div>
    <w:div w:id="1724330280">
      <w:bodyDiv w:val="1"/>
      <w:marLeft w:val="0"/>
      <w:marRight w:val="0"/>
      <w:marTop w:val="0"/>
      <w:marBottom w:val="0"/>
      <w:divBdr>
        <w:top w:val="none" w:sz="0" w:space="0" w:color="auto"/>
        <w:left w:val="none" w:sz="0" w:space="0" w:color="auto"/>
        <w:bottom w:val="none" w:sz="0" w:space="0" w:color="auto"/>
        <w:right w:val="none" w:sz="0" w:space="0" w:color="auto"/>
      </w:divBdr>
    </w:div>
    <w:div w:id="1776754059">
      <w:bodyDiv w:val="1"/>
      <w:marLeft w:val="0"/>
      <w:marRight w:val="0"/>
      <w:marTop w:val="0"/>
      <w:marBottom w:val="0"/>
      <w:divBdr>
        <w:top w:val="none" w:sz="0" w:space="0" w:color="auto"/>
        <w:left w:val="none" w:sz="0" w:space="0" w:color="auto"/>
        <w:bottom w:val="none" w:sz="0" w:space="0" w:color="auto"/>
        <w:right w:val="none" w:sz="0" w:space="0" w:color="auto"/>
      </w:divBdr>
    </w:div>
    <w:div w:id="1778714485">
      <w:bodyDiv w:val="1"/>
      <w:marLeft w:val="0"/>
      <w:marRight w:val="0"/>
      <w:marTop w:val="0"/>
      <w:marBottom w:val="0"/>
      <w:divBdr>
        <w:top w:val="none" w:sz="0" w:space="0" w:color="auto"/>
        <w:left w:val="none" w:sz="0" w:space="0" w:color="auto"/>
        <w:bottom w:val="none" w:sz="0" w:space="0" w:color="auto"/>
        <w:right w:val="none" w:sz="0" w:space="0" w:color="auto"/>
      </w:divBdr>
    </w:div>
    <w:div w:id="1998806424">
      <w:bodyDiv w:val="1"/>
      <w:marLeft w:val="0"/>
      <w:marRight w:val="0"/>
      <w:marTop w:val="0"/>
      <w:marBottom w:val="0"/>
      <w:divBdr>
        <w:top w:val="none" w:sz="0" w:space="0" w:color="auto"/>
        <w:left w:val="none" w:sz="0" w:space="0" w:color="auto"/>
        <w:bottom w:val="none" w:sz="0" w:space="0" w:color="auto"/>
        <w:right w:val="none" w:sz="0" w:space="0" w:color="auto"/>
      </w:divBdr>
    </w:div>
    <w:div w:id="2053534762">
      <w:bodyDiv w:val="1"/>
      <w:marLeft w:val="0"/>
      <w:marRight w:val="0"/>
      <w:marTop w:val="0"/>
      <w:marBottom w:val="0"/>
      <w:divBdr>
        <w:top w:val="none" w:sz="0" w:space="0" w:color="auto"/>
        <w:left w:val="none" w:sz="0" w:space="0" w:color="auto"/>
        <w:bottom w:val="none" w:sz="0" w:space="0" w:color="auto"/>
        <w:right w:val="none" w:sz="0" w:space="0" w:color="auto"/>
      </w:divBdr>
    </w:div>
    <w:div w:id="21180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diagramQuickStyle" Target="diagrams/quickStyle2.xml"/><Relationship Id="rId39" Type="http://schemas.openxmlformats.org/officeDocument/2006/relationships/image" Target="media/image8.png"/><Relationship Id="rId21" Type="http://schemas.openxmlformats.org/officeDocument/2006/relationships/diagramQuickStyle" Target="diagrams/quickStyle1.xml"/><Relationship Id="rId34" Type="http://schemas.openxmlformats.org/officeDocument/2006/relationships/hyperlink" Target="file:///C:\Users\slmeredith.000\AppData\Local\Microsoft\Windows\INetCache\Content.Outlook\LWL54ARH\education.alaska.gov\TeacherCertification\aep.html" TargetMode="External"/><Relationship Id="rId42" Type="http://schemas.openxmlformats.org/officeDocument/2006/relationships/diagramLayout" Target="diagrams/layout4.xml"/><Relationship Id="rId47" Type="http://schemas.openxmlformats.org/officeDocument/2006/relationships/hyperlink" Target="https://www.ets.org/s/education_topics/teaching_quality/pdf/teacher_leader_model_standards.pdf" TargetMode="External"/><Relationship Id="rId50" Type="http://schemas.openxmlformats.org/officeDocument/2006/relationships/diagramQuickStyle" Target="diagrams/quickStyle5.xml"/><Relationship Id="rId55" Type="http://schemas.openxmlformats.org/officeDocument/2006/relationships/diagramQuickStyle" Target="diagrams/quickStyle6.xml"/><Relationship Id="rId63" Type="http://schemas.openxmlformats.org/officeDocument/2006/relationships/hyperlink" Target="http://www.ala.org/aasl/standards/learning" TargetMode="External"/><Relationship Id="rId68" Type="http://schemas.openxmlformats.org/officeDocument/2006/relationships/hyperlink" Target="https://www.nnstoy.org/wp-content/uploads/2016/03/RINVN829_Teacher-Career-Adv-Initiatives_Rpt_WEB_f.pdf" TargetMode="Externa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diagramData" Target="diagrams/data3.xml"/><Relationship Id="rId11" Type="http://schemas.openxmlformats.org/officeDocument/2006/relationships/hyperlink" Target="mailto:OSS.Alabama@ed.gov"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image" Target="media/image6.png"/><Relationship Id="rId40" Type="http://schemas.openxmlformats.org/officeDocument/2006/relationships/image" Target="media/image9.png"/><Relationship Id="rId45" Type="http://schemas.microsoft.com/office/2007/relationships/diagramDrawing" Target="diagrams/drawing4.xml"/><Relationship Id="rId53" Type="http://schemas.openxmlformats.org/officeDocument/2006/relationships/diagramData" Target="diagrams/data6.xml"/><Relationship Id="rId58" Type="http://schemas.openxmlformats.org/officeDocument/2006/relationships/hyperlink" Target="https://education.alaska.gov" TargetMode="External"/><Relationship Id="rId66" Type="http://schemas.openxmlformats.org/officeDocument/2006/relationships/hyperlink" Target="http://www.iser.uaa.alaska.edu/Publications/2017-CostTeacher.pd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image" Target="media/image5.png"/><Relationship Id="rId49" Type="http://schemas.openxmlformats.org/officeDocument/2006/relationships/diagramLayout" Target="diagrams/layout5.xml"/><Relationship Id="rId57" Type="http://schemas.microsoft.com/office/2007/relationships/diagramDrawing" Target="diagrams/drawing6.xml"/><Relationship Id="rId61" Type="http://schemas.openxmlformats.org/officeDocument/2006/relationships/hyperlink" Target="http://acpe.alaska.gov/FINANCIAL_AID/Grants_Scholarships/Alaska_Performance_Scholarship" TargetMode="External"/><Relationship Id="rId10" Type="http://schemas.openxmlformats.org/officeDocument/2006/relationships/footer" Target="footer2.xml"/><Relationship Id="rId19" Type="http://schemas.openxmlformats.org/officeDocument/2006/relationships/diagramData" Target="diagrams/data1.xml"/><Relationship Id="rId31" Type="http://schemas.openxmlformats.org/officeDocument/2006/relationships/diagramQuickStyle" Target="diagrams/quickStyle3.xml"/><Relationship Id="rId44" Type="http://schemas.openxmlformats.org/officeDocument/2006/relationships/diagramColors" Target="diagrams/colors4.xml"/><Relationship Id="rId52" Type="http://schemas.microsoft.com/office/2007/relationships/diagramDrawing" Target="diagrams/drawing5.xml"/><Relationship Id="rId60" Type="http://schemas.openxmlformats.org/officeDocument/2006/relationships/hyperlink" Target="https://education.alaska.gov/akedchallenge" TargetMode="External"/><Relationship Id="rId65" Type="http://schemas.openxmlformats.org/officeDocument/2006/relationships/hyperlink" Target="https://education.alaska.gov/standard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header" Target="header2.xml"/><Relationship Id="rId43" Type="http://schemas.openxmlformats.org/officeDocument/2006/relationships/diagramQuickStyle" Target="diagrams/quickStyle4.xm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hyperlink" Target="https://www.iste.org/standards/standards/for-students" TargetMode="External"/><Relationship Id="rId69" Type="http://schemas.openxmlformats.org/officeDocument/2006/relationships/image" Target="media/image10.png"/><Relationship Id="rId8" Type="http://schemas.openxmlformats.org/officeDocument/2006/relationships/image" Target="media/image1.wmf"/><Relationship Id="rId51" Type="http://schemas.openxmlformats.org/officeDocument/2006/relationships/diagramColors" Target="diagrams/colors5.xm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image" Target="media/image7.png"/><Relationship Id="rId46" Type="http://schemas.openxmlformats.org/officeDocument/2006/relationships/hyperlink" Target="http://www.gtlcenter.org/sites/default/files/docs/NCCTQRecruitQuality.pdf" TargetMode="External"/><Relationship Id="rId59" Type="http://schemas.openxmlformats.org/officeDocument/2006/relationships/hyperlink" Target="https://education.alaska.gov/data-center" TargetMode="External"/><Relationship Id="rId67" Type="http://schemas.openxmlformats.org/officeDocument/2006/relationships/hyperlink" Target="https://www.ets.org/s/education_topics/teaching_quality/pdf/teacher_leader_model_standards.pdf" TargetMode="External"/><Relationship Id="rId20" Type="http://schemas.openxmlformats.org/officeDocument/2006/relationships/diagramLayout" Target="diagrams/layout1.xml"/><Relationship Id="rId41" Type="http://schemas.openxmlformats.org/officeDocument/2006/relationships/diagramData" Target="diagrams/data4.xml"/><Relationship Id="rId54" Type="http://schemas.openxmlformats.org/officeDocument/2006/relationships/diagramLayout" Target="diagrams/layout6.xml"/><Relationship Id="rId62" Type="http://schemas.openxmlformats.org/officeDocument/2006/relationships/hyperlink" Target="http://edglossary.org/in-person-learning/" TargetMode="External"/><Relationship Id="rId70" Type="http://schemas.openxmlformats.org/officeDocument/2006/relationships/hyperlink" Target="https://education.alaska.gov/esea/rti"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eedjnugb-na2\home\bklaurent\BRIAN%20AM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effect of n-size'!$A$2</c:f>
              <c:strCache>
                <c:ptCount val="1"/>
                <c:pt idx="0">
                  <c:v>All students</c:v>
                </c:pt>
              </c:strCache>
            </c:strRef>
          </c:tx>
          <c:spPr>
            <a:ln w="28575" cap="rnd">
              <a:solidFill>
                <a:schemeClr val="accent1"/>
              </a:solidFill>
              <a:round/>
            </a:ln>
            <a:effectLst/>
          </c:spPr>
          <c:marker>
            <c:symbol val="none"/>
          </c:marker>
          <c:cat>
            <c:strRef>
              <c:f>'graph effect of n-size'!$B$1:$H$1</c:f>
              <c:strCache>
                <c:ptCount val="7"/>
                <c:pt idx="0">
                  <c:v>Total count of schools</c:v>
                </c:pt>
                <c:pt idx="1">
                  <c:v>n=5</c:v>
                </c:pt>
                <c:pt idx="2">
                  <c:v>n=10</c:v>
                </c:pt>
                <c:pt idx="3">
                  <c:v>n=15</c:v>
                </c:pt>
                <c:pt idx="4">
                  <c:v>n=20</c:v>
                </c:pt>
                <c:pt idx="5">
                  <c:v>n=25</c:v>
                </c:pt>
                <c:pt idx="6">
                  <c:v>n=30</c:v>
                </c:pt>
              </c:strCache>
            </c:strRef>
          </c:cat>
          <c:val>
            <c:numRef>
              <c:f>'graph effect of n-size'!$B$2:$H$2</c:f>
              <c:numCache>
                <c:formatCode>General</c:formatCode>
                <c:ptCount val="7"/>
                <c:pt idx="0">
                  <c:v>495</c:v>
                </c:pt>
                <c:pt idx="1">
                  <c:v>478</c:v>
                </c:pt>
                <c:pt idx="2">
                  <c:v>433</c:v>
                </c:pt>
                <c:pt idx="3">
                  <c:v>409</c:v>
                </c:pt>
                <c:pt idx="4">
                  <c:v>390</c:v>
                </c:pt>
                <c:pt idx="5">
                  <c:v>374</c:v>
                </c:pt>
                <c:pt idx="6">
                  <c:v>365</c:v>
                </c:pt>
              </c:numCache>
            </c:numRef>
          </c:val>
          <c:smooth val="0"/>
          <c:extLst>
            <c:ext xmlns:c16="http://schemas.microsoft.com/office/drawing/2014/chart" uri="{C3380CC4-5D6E-409C-BE32-E72D297353CC}">
              <c16:uniqueId val="{00000000-30F0-4CD2-8ACE-D59477369369}"/>
            </c:ext>
          </c:extLst>
        </c:ser>
        <c:ser>
          <c:idx val="1"/>
          <c:order val="1"/>
          <c:tx>
            <c:strRef>
              <c:f>'graph effect of n-size'!$A$3</c:f>
              <c:strCache>
                <c:ptCount val="1"/>
                <c:pt idx="0">
                  <c:v>Economically Disadvantaged</c:v>
                </c:pt>
              </c:strCache>
            </c:strRef>
          </c:tx>
          <c:spPr>
            <a:ln w="28575" cap="rnd">
              <a:solidFill>
                <a:schemeClr val="accent2"/>
              </a:solidFill>
              <a:round/>
            </a:ln>
            <a:effectLst/>
          </c:spPr>
          <c:marker>
            <c:symbol val="none"/>
          </c:marker>
          <c:cat>
            <c:strRef>
              <c:f>'graph effect of n-size'!$B$1:$H$1</c:f>
              <c:strCache>
                <c:ptCount val="7"/>
                <c:pt idx="0">
                  <c:v>Total count of schools</c:v>
                </c:pt>
                <c:pt idx="1">
                  <c:v>n=5</c:v>
                </c:pt>
                <c:pt idx="2">
                  <c:v>n=10</c:v>
                </c:pt>
                <c:pt idx="3">
                  <c:v>n=15</c:v>
                </c:pt>
                <c:pt idx="4">
                  <c:v>n=20</c:v>
                </c:pt>
                <c:pt idx="5">
                  <c:v>n=25</c:v>
                </c:pt>
                <c:pt idx="6">
                  <c:v>n=30</c:v>
                </c:pt>
              </c:strCache>
            </c:strRef>
          </c:cat>
          <c:val>
            <c:numRef>
              <c:f>'graph effect of n-size'!$B$3:$H$3</c:f>
              <c:numCache>
                <c:formatCode>General</c:formatCode>
                <c:ptCount val="7"/>
                <c:pt idx="0">
                  <c:v>488</c:v>
                </c:pt>
                <c:pt idx="1">
                  <c:v>447</c:v>
                </c:pt>
                <c:pt idx="2">
                  <c:v>401</c:v>
                </c:pt>
                <c:pt idx="3">
                  <c:v>365</c:v>
                </c:pt>
                <c:pt idx="4">
                  <c:v>346</c:v>
                </c:pt>
                <c:pt idx="5">
                  <c:v>316</c:v>
                </c:pt>
                <c:pt idx="6">
                  <c:v>298</c:v>
                </c:pt>
              </c:numCache>
            </c:numRef>
          </c:val>
          <c:smooth val="0"/>
          <c:extLst>
            <c:ext xmlns:c16="http://schemas.microsoft.com/office/drawing/2014/chart" uri="{C3380CC4-5D6E-409C-BE32-E72D297353CC}">
              <c16:uniqueId val="{00000001-30F0-4CD2-8ACE-D59477369369}"/>
            </c:ext>
          </c:extLst>
        </c:ser>
        <c:ser>
          <c:idx val="2"/>
          <c:order val="2"/>
          <c:tx>
            <c:strRef>
              <c:f>'graph effect of n-size'!$A$4</c:f>
              <c:strCache>
                <c:ptCount val="1"/>
                <c:pt idx="0">
                  <c:v>Alaska Native/American Indian</c:v>
                </c:pt>
              </c:strCache>
            </c:strRef>
          </c:tx>
          <c:spPr>
            <a:ln w="28575" cap="rnd">
              <a:solidFill>
                <a:schemeClr val="accent3"/>
              </a:solidFill>
              <a:round/>
            </a:ln>
            <a:effectLst/>
          </c:spPr>
          <c:marker>
            <c:symbol val="none"/>
          </c:marker>
          <c:cat>
            <c:strRef>
              <c:f>'graph effect of n-size'!$B$1:$H$1</c:f>
              <c:strCache>
                <c:ptCount val="7"/>
                <c:pt idx="0">
                  <c:v>Total count of schools</c:v>
                </c:pt>
                <c:pt idx="1">
                  <c:v>n=5</c:v>
                </c:pt>
                <c:pt idx="2">
                  <c:v>n=10</c:v>
                </c:pt>
                <c:pt idx="3">
                  <c:v>n=15</c:v>
                </c:pt>
                <c:pt idx="4">
                  <c:v>n=20</c:v>
                </c:pt>
                <c:pt idx="5">
                  <c:v>n=25</c:v>
                </c:pt>
                <c:pt idx="6">
                  <c:v>n=30</c:v>
                </c:pt>
              </c:strCache>
            </c:strRef>
          </c:cat>
          <c:val>
            <c:numRef>
              <c:f>'graph effect of n-size'!$B$4:$H$4</c:f>
              <c:numCache>
                <c:formatCode>General</c:formatCode>
                <c:ptCount val="7"/>
                <c:pt idx="0">
                  <c:v>470</c:v>
                </c:pt>
                <c:pt idx="1">
                  <c:v>398</c:v>
                </c:pt>
                <c:pt idx="2">
                  <c:v>337</c:v>
                </c:pt>
                <c:pt idx="3">
                  <c:v>291</c:v>
                </c:pt>
                <c:pt idx="4">
                  <c:v>248</c:v>
                </c:pt>
                <c:pt idx="5">
                  <c:v>208</c:v>
                </c:pt>
                <c:pt idx="6">
                  <c:v>185</c:v>
                </c:pt>
              </c:numCache>
            </c:numRef>
          </c:val>
          <c:smooth val="0"/>
          <c:extLst>
            <c:ext xmlns:c16="http://schemas.microsoft.com/office/drawing/2014/chart" uri="{C3380CC4-5D6E-409C-BE32-E72D297353CC}">
              <c16:uniqueId val="{00000002-30F0-4CD2-8ACE-D59477369369}"/>
            </c:ext>
          </c:extLst>
        </c:ser>
        <c:ser>
          <c:idx val="3"/>
          <c:order val="3"/>
          <c:tx>
            <c:strRef>
              <c:f>'graph effect of n-size'!$A$5</c:f>
              <c:strCache>
                <c:ptCount val="1"/>
                <c:pt idx="0">
                  <c:v>Student with Disabilities</c:v>
                </c:pt>
              </c:strCache>
            </c:strRef>
          </c:tx>
          <c:spPr>
            <a:ln w="28575" cap="rnd">
              <a:solidFill>
                <a:schemeClr val="accent4"/>
              </a:solidFill>
              <a:round/>
            </a:ln>
            <a:effectLst/>
          </c:spPr>
          <c:marker>
            <c:symbol val="none"/>
          </c:marker>
          <c:cat>
            <c:strRef>
              <c:f>'graph effect of n-size'!$B$1:$H$1</c:f>
              <c:strCache>
                <c:ptCount val="7"/>
                <c:pt idx="0">
                  <c:v>Total count of schools</c:v>
                </c:pt>
                <c:pt idx="1">
                  <c:v>n=5</c:v>
                </c:pt>
                <c:pt idx="2">
                  <c:v>n=10</c:v>
                </c:pt>
                <c:pt idx="3">
                  <c:v>n=15</c:v>
                </c:pt>
                <c:pt idx="4">
                  <c:v>n=20</c:v>
                </c:pt>
                <c:pt idx="5">
                  <c:v>n=25</c:v>
                </c:pt>
                <c:pt idx="6">
                  <c:v>n=30</c:v>
                </c:pt>
              </c:strCache>
            </c:strRef>
          </c:cat>
          <c:val>
            <c:numRef>
              <c:f>'graph effect of n-size'!$B$5:$H$5</c:f>
              <c:numCache>
                <c:formatCode>General</c:formatCode>
                <c:ptCount val="7"/>
                <c:pt idx="0">
                  <c:v>463</c:v>
                </c:pt>
                <c:pt idx="1">
                  <c:v>347</c:v>
                </c:pt>
                <c:pt idx="2">
                  <c:v>276</c:v>
                </c:pt>
                <c:pt idx="3">
                  <c:v>212</c:v>
                </c:pt>
                <c:pt idx="4">
                  <c:v>177</c:v>
                </c:pt>
                <c:pt idx="5">
                  <c:v>141</c:v>
                </c:pt>
                <c:pt idx="6">
                  <c:v>106</c:v>
                </c:pt>
              </c:numCache>
            </c:numRef>
          </c:val>
          <c:smooth val="0"/>
          <c:extLst>
            <c:ext xmlns:c16="http://schemas.microsoft.com/office/drawing/2014/chart" uri="{C3380CC4-5D6E-409C-BE32-E72D297353CC}">
              <c16:uniqueId val="{00000003-30F0-4CD2-8ACE-D59477369369}"/>
            </c:ext>
          </c:extLst>
        </c:ser>
        <c:ser>
          <c:idx val="4"/>
          <c:order val="4"/>
          <c:tx>
            <c:strRef>
              <c:f>'graph effect of n-size'!$A$6</c:f>
              <c:strCache>
                <c:ptCount val="1"/>
                <c:pt idx="0">
                  <c:v>English Learners</c:v>
                </c:pt>
              </c:strCache>
            </c:strRef>
          </c:tx>
          <c:spPr>
            <a:ln w="28575" cap="rnd">
              <a:solidFill>
                <a:schemeClr val="accent5"/>
              </a:solidFill>
              <a:round/>
            </a:ln>
            <a:effectLst/>
          </c:spPr>
          <c:marker>
            <c:symbol val="none"/>
          </c:marker>
          <c:cat>
            <c:strRef>
              <c:f>'graph effect of n-size'!$B$1:$H$1</c:f>
              <c:strCache>
                <c:ptCount val="7"/>
                <c:pt idx="0">
                  <c:v>Total count of schools</c:v>
                </c:pt>
                <c:pt idx="1">
                  <c:v>n=5</c:v>
                </c:pt>
                <c:pt idx="2">
                  <c:v>n=10</c:v>
                </c:pt>
                <c:pt idx="3">
                  <c:v>n=15</c:v>
                </c:pt>
                <c:pt idx="4">
                  <c:v>n=20</c:v>
                </c:pt>
                <c:pt idx="5">
                  <c:v>n=25</c:v>
                </c:pt>
                <c:pt idx="6">
                  <c:v>n=30</c:v>
                </c:pt>
              </c:strCache>
            </c:strRef>
          </c:cat>
          <c:val>
            <c:numRef>
              <c:f>'graph effect of n-size'!$B$6:$H$6</c:f>
              <c:numCache>
                <c:formatCode>General</c:formatCode>
                <c:ptCount val="7"/>
                <c:pt idx="0">
                  <c:v>357</c:v>
                </c:pt>
                <c:pt idx="1">
                  <c:v>260</c:v>
                </c:pt>
                <c:pt idx="2">
                  <c:v>192</c:v>
                </c:pt>
                <c:pt idx="3">
                  <c:v>149</c:v>
                </c:pt>
                <c:pt idx="4">
                  <c:v>126</c:v>
                </c:pt>
                <c:pt idx="5">
                  <c:v>107</c:v>
                </c:pt>
                <c:pt idx="6">
                  <c:v>92</c:v>
                </c:pt>
              </c:numCache>
            </c:numRef>
          </c:val>
          <c:smooth val="0"/>
          <c:extLst>
            <c:ext xmlns:c16="http://schemas.microsoft.com/office/drawing/2014/chart" uri="{C3380CC4-5D6E-409C-BE32-E72D297353CC}">
              <c16:uniqueId val="{00000004-30F0-4CD2-8ACE-D59477369369}"/>
            </c:ext>
          </c:extLst>
        </c:ser>
        <c:dLbls>
          <c:showLegendKey val="0"/>
          <c:showVal val="0"/>
          <c:showCatName val="0"/>
          <c:showSerName val="0"/>
          <c:showPercent val="0"/>
          <c:showBubbleSize val="0"/>
        </c:dLbls>
        <c:smooth val="0"/>
        <c:axId val="448171016"/>
        <c:axId val="448169840"/>
      </c:lineChart>
      <c:catAx>
        <c:axId val="448171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169840"/>
        <c:crosses val="autoZero"/>
        <c:auto val="1"/>
        <c:lblAlgn val="ctr"/>
        <c:lblOffset val="100"/>
        <c:noMultiLvlLbl val="0"/>
      </c:catAx>
      <c:valAx>
        <c:axId val="448169840"/>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171016"/>
        <c:crosses val="autoZero"/>
        <c:crossBetween val="midCat"/>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381BD-8A66-4DA0-A036-E92738380E1F}"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9433CC02-9457-42F5-9F3A-13FC1BDE23FA}">
      <dgm:prSet phldrT="[Text]" custT="1"/>
      <dgm:spPr/>
      <dgm:t>
        <a:bodyPr/>
        <a:lstStyle/>
        <a:p>
          <a:pPr algn="ctr"/>
          <a:r>
            <a:rPr lang="en-US" sz="1600"/>
            <a:t>ASSESS NEEDS</a:t>
          </a:r>
        </a:p>
        <a:p>
          <a:pPr algn="l"/>
          <a:r>
            <a:rPr lang="en-US" sz="1000"/>
            <a:t>-Analysis of student performance data</a:t>
          </a:r>
        </a:p>
        <a:p>
          <a:pPr algn="l"/>
          <a:r>
            <a:rPr lang="en-US" sz="1000"/>
            <a:t>-Needs assessment by school team</a:t>
          </a:r>
        </a:p>
        <a:p>
          <a:pPr algn="l"/>
          <a:r>
            <a:rPr lang="en-US" sz="1000"/>
            <a:t>-Indicators of effective practice</a:t>
          </a:r>
        </a:p>
      </dgm:t>
    </dgm:pt>
    <dgm:pt modelId="{CB032832-29E1-440C-9632-526B49444B65}" type="parTrans" cxnId="{EEE3E905-A4B7-410D-A46A-4AC060A6C31A}">
      <dgm:prSet/>
      <dgm:spPr/>
      <dgm:t>
        <a:bodyPr/>
        <a:lstStyle/>
        <a:p>
          <a:endParaRPr lang="en-US"/>
        </a:p>
      </dgm:t>
    </dgm:pt>
    <dgm:pt modelId="{A5094E0F-5F48-44A4-8CC8-2E833F930606}" type="sibTrans" cxnId="{EEE3E905-A4B7-410D-A46A-4AC060A6C31A}">
      <dgm:prSet/>
      <dgm:spPr/>
      <dgm:t>
        <a:bodyPr/>
        <a:lstStyle/>
        <a:p>
          <a:endParaRPr lang="en-US"/>
        </a:p>
      </dgm:t>
    </dgm:pt>
    <dgm:pt modelId="{4A90D138-8EAB-41C2-9D9F-59D8D544488F}">
      <dgm:prSet phldrT="[Text]" custT="1"/>
      <dgm:spPr/>
      <dgm:t>
        <a:bodyPr/>
        <a:lstStyle/>
        <a:p>
          <a:pPr algn="ctr"/>
          <a:r>
            <a:rPr lang="en-US" sz="1600"/>
            <a:t>PLAN &amp; ACT</a:t>
          </a:r>
        </a:p>
        <a:p>
          <a:pPr algn="l"/>
          <a:r>
            <a:rPr lang="en-US" sz="1000"/>
            <a:t>-Identify and implement SMART goals</a:t>
          </a:r>
        </a:p>
        <a:p>
          <a:pPr algn="l"/>
          <a:r>
            <a:rPr lang="en-US" sz="1000"/>
            <a:t>-Routine progress checks of improvement goals</a:t>
          </a:r>
        </a:p>
        <a:p>
          <a:pPr algn="l"/>
          <a:r>
            <a:rPr lang="en-US" sz="1000"/>
            <a:t>-District and state level engagement and support</a:t>
          </a:r>
        </a:p>
      </dgm:t>
    </dgm:pt>
    <dgm:pt modelId="{7FE79B1D-9868-4520-B947-0C213736A1C2}" type="parTrans" cxnId="{E818AF33-07BB-436D-A1B0-7D9730892A5B}">
      <dgm:prSet/>
      <dgm:spPr/>
      <dgm:t>
        <a:bodyPr/>
        <a:lstStyle/>
        <a:p>
          <a:endParaRPr lang="en-US"/>
        </a:p>
      </dgm:t>
    </dgm:pt>
    <dgm:pt modelId="{22C872F4-941A-499E-97CA-DFEBDA89E7E1}" type="sibTrans" cxnId="{E818AF33-07BB-436D-A1B0-7D9730892A5B}">
      <dgm:prSet/>
      <dgm:spPr/>
      <dgm:t>
        <a:bodyPr/>
        <a:lstStyle/>
        <a:p>
          <a:endParaRPr lang="en-US"/>
        </a:p>
      </dgm:t>
    </dgm:pt>
    <dgm:pt modelId="{E4FE2CFB-40A0-464F-82B3-3090D1FFBAC2}">
      <dgm:prSet phldrT="[Text]" custT="1"/>
      <dgm:spPr/>
      <dgm:t>
        <a:bodyPr/>
        <a:lstStyle/>
        <a:p>
          <a:pPr algn="ctr"/>
          <a:r>
            <a:rPr lang="en-US" sz="1600"/>
            <a:t>Evaluate Impact</a:t>
          </a:r>
        </a:p>
        <a:p>
          <a:pPr algn="l"/>
          <a:r>
            <a:rPr lang="en-US" sz="1000"/>
            <a:t>-Formative assessments and progress monitoring</a:t>
          </a:r>
        </a:p>
        <a:p>
          <a:pPr algn="l"/>
          <a:r>
            <a:rPr lang="en-US" sz="1000"/>
            <a:t>-Analysis of intervention effectiveness and impact</a:t>
          </a:r>
        </a:p>
        <a:p>
          <a:pPr algn="l"/>
          <a:r>
            <a:rPr lang="en-US" sz="1000"/>
            <a:t>-District and state jointly ensure plan implementation</a:t>
          </a:r>
        </a:p>
        <a:p>
          <a:pPr algn="l"/>
          <a:endParaRPr lang="en-US" sz="800"/>
        </a:p>
      </dgm:t>
    </dgm:pt>
    <dgm:pt modelId="{12005917-3C4F-41B2-A4BE-27FD68962163}" type="parTrans" cxnId="{7A77579B-99F0-4ADE-8FC4-E6E51A4785F2}">
      <dgm:prSet/>
      <dgm:spPr/>
      <dgm:t>
        <a:bodyPr/>
        <a:lstStyle/>
        <a:p>
          <a:endParaRPr lang="en-US"/>
        </a:p>
      </dgm:t>
    </dgm:pt>
    <dgm:pt modelId="{65247DCA-77D4-4DAB-A128-C172B8C394D9}" type="sibTrans" cxnId="{7A77579B-99F0-4ADE-8FC4-E6E51A4785F2}">
      <dgm:prSet/>
      <dgm:spPr/>
      <dgm:t>
        <a:bodyPr/>
        <a:lstStyle/>
        <a:p>
          <a:endParaRPr lang="en-US"/>
        </a:p>
      </dgm:t>
    </dgm:pt>
    <dgm:pt modelId="{5FAF6C2E-B494-4BCF-90B8-B77B896EF0FE}" type="pres">
      <dgm:prSet presAssocID="{83E381BD-8A66-4DA0-A036-E92738380E1F}" presName="Name0" presStyleCnt="0">
        <dgm:presLayoutVars>
          <dgm:dir/>
          <dgm:resizeHandles val="exact"/>
        </dgm:presLayoutVars>
      </dgm:prSet>
      <dgm:spPr/>
      <dgm:t>
        <a:bodyPr/>
        <a:lstStyle/>
        <a:p>
          <a:endParaRPr lang="en-US"/>
        </a:p>
      </dgm:t>
    </dgm:pt>
    <dgm:pt modelId="{3D0CCA5D-DD49-4E0A-9B1A-3F975DF1487A}" type="pres">
      <dgm:prSet presAssocID="{9433CC02-9457-42F5-9F3A-13FC1BDE23FA}" presName="node" presStyleLbl="node1" presStyleIdx="0" presStyleCnt="3" custScaleX="108763" custScaleY="162765" custRadScaleRad="91403" custRadScaleInc="57784">
        <dgm:presLayoutVars>
          <dgm:bulletEnabled val="1"/>
        </dgm:presLayoutVars>
      </dgm:prSet>
      <dgm:spPr/>
      <dgm:t>
        <a:bodyPr/>
        <a:lstStyle/>
        <a:p>
          <a:endParaRPr lang="en-US"/>
        </a:p>
      </dgm:t>
    </dgm:pt>
    <dgm:pt modelId="{63D9549F-17AD-4300-9258-B0C2B25805E6}" type="pres">
      <dgm:prSet presAssocID="{A5094E0F-5F48-44A4-8CC8-2E833F930606}" presName="sibTrans" presStyleLbl="sibTrans2D1" presStyleIdx="0" presStyleCnt="3" custScaleX="192400" custLinFactNeighborX="-7222" custLinFactNeighborY="-16585"/>
      <dgm:spPr/>
      <dgm:t>
        <a:bodyPr/>
        <a:lstStyle/>
        <a:p>
          <a:endParaRPr lang="en-US"/>
        </a:p>
      </dgm:t>
    </dgm:pt>
    <dgm:pt modelId="{8FA4CA1D-8E94-4C18-9387-5D7783595D17}" type="pres">
      <dgm:prSet presAssocID="{A5094E0F-5F48-44A4-8CC8-2E833F930606}" presName="connectorText" presStyleLbl="sibTrans2D1" presStyleIdx="0" presStyleCnt="3"/>
      <dgm:spPr/>
      <dgm:t>
        <a:bodyPr/>
        <a:lstStyle/>
        <a:p>
          <a:endParaRPr lang="en-US"/>
        </a:p>
      </dgm:t>
    </dgm:pt>
    <dgm:pt modelId="{181EB2DA-EC39-45E3-8ED2-74D54FB7575A}" type="pres">
      <dgm:prSet presAssocID="{4A90D138-8EAB-41C2-9D9F-59D8D544488F}" presName="node" presStyleLbl="node1" presStyleIdx="1" presStyleCnt="3" custScaleX="114274" custScaleY="173123" custRadScaleRad="71108" custRadScaleInc="-2883">
        <dgm:presLayoutVars>
          <dgm:bulletEnabled val="1"/>
        </dgm:presLayoutVars>
      </dgm:prSet>
      <dgm:spPr/>
      <dgm:t>
        <a:bodyPr/>
        <a:lstStyle/>
        <a:p>
          <a:endParaRPr lang="en-US"/>
        </a:p>
      </dgm:t>
    </dgm:pt>
    <dgm:pt modelId="{988E1FA5-88BA-4A30-9EF9-66AC42FEC29F}" type="pres">
      <dgm:prSet presAssocID="{22C872F4-941A-499E-97CA-DFEBDA89E7E1}" presName="sibTrans" presStyleLbl="sibTrans2D1" presStyleIdx="1" presStyleCnt="3" custScaleX="219877"/>
      <dgm:spPr/>
      <dgm:t>
        <a:bodyPr/>
        <a:lstStyle/>
        <a:p>
          <a:endParaRPr lang="en-US"/>
        </a:p>
      </dgm:t>
    </dgm:pt>
    <dgm:pt modelId="{1A4A5D5D-F9EF-4252-9796-E37D87206877}" type="pres">
      <dgm:prSet presAssocID="{22C872F4-941A-499E-97CA-DFEBDA89E7E1}" presName="connectorText" presStyleLbl="sibTrans2D1" presStyleIdx="1" presStyleCnt="3"/>
      <dgm:spPr/>
      <dgm:t>
        <a:bodyPr/>
        <a:lstStyle/>
        <a:p>
          <a:endParaRPr lang="en-US"/>
        </a:p>
      </dgm:t>
    </dgm:pt>
    <dgm:pt modelId="{D9D91028-BC71-4C6E-8FA1-242547B93646}" type="pres">
      <dgm:prSet presAssocID="{E4FE2CFB-40A0-464F-82B3-3090D1FFBAC2}" presName="node" presStyleLbl="node1" presStyleIdx="2" presStyleCnt="3" custScaleX="107682" custScaleY="184229" custRadScaleRad="104859" custRadScaleInc="55909">
        <dgm:presLayoutVars>
          <dgm:bulletEnabled val="1"/>
        </dgm:presLayoutVars>
      </dgm:prSet>
      <dgm:spPr/>
      <dgm:t>
        <a:bodyPr/>
        <a:lstStyle/>
        <a:p>
          <a:endParaRPr lang="en-US"/>
        </a:p>
      </dgm:t>
    </dgm:pt>
    <dgm:pt modelId="{97330E7A-EDC4-431D-BDFD-87F795BE5710}" type="pres">
      <dgm:prSet presAssocID="{65247DCA-77D4-4DAB-A128-C172B8C394D9}" presName="sibTrans" presStyleLbl="sibTrans2D1" presStyleIdx="2" presStyleCnt="3" custScaleX="234731"/>
      <dgm:spPr/>
      <dgm:t>
        <a:bodyPr/>
        <a:lstStyle/>
        <a:p>
          <a:endParaRPr lang="en-US"/>
        </a:p>
      </dgm:t>
    </dgm:pt>
    <dgm:pt modelId="{AF5BFE40-D498-422B-A1AB-2DEBE715B30E}" type="pres">
      <dgm:prSet presAssocID="{65247DCA-77D4-4DAB-A128-C172B8C394D9}" presName="connectorText" presStyleLbl="sibTrans2D1" presStyleIdx="2" presStyleCnt="3"/>
      <dgm:spPr/>
      <dgm:t>
        <a:bodyPr/>
        <a:lstStyle/>
        <a:p>
          <a:endParaRPr lang="en-US"/>
        </a:p>
      </dgm:t>
    </dgm:pt>
  </dgm:ptLst>
  <dgm:cxnLst>
    <dgm:cxn modelId="{E24C035E-E955-4E15-A48F-32D2D8D58E01}" type="presOf" srcId="{E4FE2CFB-40A0-464F-82B3-3090D1FFBAC2}" destId="{D9D91028-BC71-4C6E-8FA1-242547B93646}" srcOrd="0" destOrd="0" presId="urn:microsoft.com/office/officeart/2005/8/layout/cycle7"/>
    <dgm:cxn modelId="{32697935-7E76-4960-8FD8-2A15FD0FD5F8}" type="presOf" srcId="{65247DCA-77D4-4DAB-A128-C172B8C394D9}" destId="{AF5BFE40-D498-422B-A1AB-2DEBE715B30E}" srcOrd="1" destOrd="0" presId="urn:microsoft.com/office/officeart/2005/8/layout/cycle7"/>
    <dgm:cxn modelId="{E818AF33-07BB-436D-A1B0-7D9730892A5B}" srcId="{83E381BD-8A66-4DA0-A036-E92738380E1F}" destId="{4A90D138-8EAB-41C2-9D9F-59D8D544488F}" srcOrd="1" destOrd="0" parTransId="{7FE79B1D-9868-4520-B947-0C213736A1C2}" sibTransId="{22C872F4-941A-499E-97CA-DFEBDA89E7E1}"/>
    <dgm:cxn modelId="{EEE3E905-A4B7-410D-A46A-4AC060A6C31A}" srcId="{83E381BD-8A66-4DA0-A036-E92738380E1F}" destId="{9433CC02-9457-42F5-9F3A-13FC1BDE23FA}" srcOrd="0" destOrd="0" parTransId="{CB032832-29E1-440C-9632-526B49444B65}" sibTransId="{A5094E0F-5F48-44A4-8CC8-2E833F930606}"/>
    <dgm:cxn modelId="{F7269C5A-E3FC-4CA6-8CA4-26AA0DF77162}" type="presOf" srcId="{A5094E0F-5F48-44A4-8CC8-2E833F930606}" destId="{63D9549F-17AD-4300-9258-B0C2B25805E6}" srcOrd="0" destOrd="0" presId="urn:microsoft.com/office/officeart/2005/8/layout/cycle7"/>
    <dgm:cxn modelId="{62785926-BCDA-401B-84C8-894389FDBD37}" type="presOf" srcId="{4A90D138-8EAB-41C2-9D9F-59D8D544488F}" destId="{181EB2DA-EC39-45E3-8ED2-74D54FB7575A}" srcOrd="0" destOrd="0" presId="urn:microsoft.com/office/officeart/2005/8/layout/cycle7"/>
    <dgm:cxn modelId="{FDC5E1A9-7A6A-4654-9357-DE97D34C4B13}" type="presOf" srcId="{9433CC02-9457-42F5-9F3A-13FC1BDE23FA}" destId="{3D0CCA5D-DD49-4E0A-9B1A-3F975DF1487A}" srcOrd="0" destOrd="0" presId="urn:microsoft.com/office/officeart/2005/8/layout/cycle7"/>
    <dgm:cxn modelId="{F8E9522C-0C3F-4141-AA7B-CCEF653219BB}" type="presOf" srcId="{22C872F4-941A-499E-97CA-DFEBDA89E7E1}" destId="{1A4A5D5D-F9EF-4252-9796-E37D87206877}" srcOrd="1" destOrd="0" presId="urn:microsoft.com/office/officeart/2005/8/layout/cycle7"/>
    <dgm:cxn modelId="{5A65C53C-0D7A-420E-A217-BDFBAEA4AA6C}" type="presOf" srcId="{A5094E0F-5F48-44A4-8CC8-2E833F930606}" destId="{8FA4CA1D-8E94-4C18-9387-5D7783595D17}" srcOrd="1" destOrd="0" presId="urn:microsoft.com/office/officeart/2005/8/layout/cycle7"/>
    <dgm:cxn modelId="{7A77579B-99F0-4ADE-8FC4-E6E51A4785F2}" srcId="{83E381BD-8A66-4DA0-A036-E92738380E1F}" destId="{E4FE2CFB-40A0-464F-82B3-3090D1FFBAC2}" srcOrd="2" destOrd="0" parTransId="{12005917-3C4F-41B2-A4BE-27FD68962163}" sibTransId="{65247DCA-77D4-4DAB-A128-C172B8C394D9}"/>
    <dgm:cxn modelId="{B5CD581B-6F5D-4E4F-B800-A36887EB3E67}" type="presOf" srcId="{83E381BD-8A66-4DA0-A036-E92738380E1F}" destId="{5FAF6C2E-B494-4BCF-90B8-B77B896EF0FE}" srcOrd="0" destOrd="0" presId="urn:microsoft.com/office/officeart/2005/8/layout/cycle7"/>
    <dgm:cxn modelId="{EFD5785D-FB7A-4347-827B-1C15BB6823CE}" type="presOf" srcId="{22C872F4-941A-499E-97CA-DFEBDA89E7E1}" destId="{988E1FA5-88BA-4A30-9EF9-66AC42FEC29F}" srcOrd="0" destOrd="0" presId="urn:microsoft.com/office/officeart/2005/8/layout/cycle7"/>
    <dgm:cxn modelId="{F89F1059-1C69-47E2-B575-09081149D838}" type="presOf" srcId="{65247DCA-77D4-4DAB-A128-C172B8C394D9}" destId="{97330E7A-EDC4-431D-BDFD-87F795BE5710}" srcOrd="0" destOrd="0" presId="urn:microsoft.com/office/officeart/2005/8/layout/cycle7"/>
    <dgm:cxn modelId="{9F417D01-A30C-42B4-B09D-47AE973D89E3}" type="presParOf" srcId="{5FAF6C2E-B494-4BCF-90B8-B77B896EF0FE}" destId="{3D0CCA5D-DD49-4E0A-9B1A-3F975DF1487A}" srcOrd="0" destOrd="0" presId="urn:microsoft.com/office/officeart/2005/8/layout/cycle7"/>
    <dgm:cxn modelId="{3618183F-74ED-43FB-86CF-8AD205446D7C}" type="presParOf" srcId="{5FAF6C2E-B494-4BCF-90B8-B77B896EF0FE}" destId="{63D9549F-17AD-4300-9258-B0C2B25805E6}" srcOrd="1" destOrd="0" presId="urn:microsoft.com/office/officeart/2005/8/layout/cycle7"/>
    <dgm:cxn modelId="{F5D99B7F-8D51-4DC4-8CC0-EBCE934F6292}" type="presParOf" srcId="{63D9549F-17AD-4300-9258-B0C2B25805E6}" destId="{8FA4CA1D-8E94-4C18-9387-5D7783595D17}" srcOrd="0" destOrd="0" presId="urn:microsoft.com/office/officeart/2005/8/layout/cycle7"/>
    <dgm:cxn modelId="{C414A5FE-B58F-455D-84C2-CCF0FF0ECB69}" type="presParOf" srcId="{5FAF6C2E-B494-4BCF-90B8-B77B896EF0FE}" destId="{181EB2DA-EC39-45E3-8ED2-74D54FB7575A}" srcOrd="2" destOrd="0" presId="urn:microsoft.com/office/officeart/2005/8/layout/cycle7"/>
    <dgm:cxn modelId="{C8336F81-54B2-4170-A902-BDF191ED71D0}" type="presParOf" srcId="{5FAF6C2E-B494-4BCF-90B8-B77B896EF0FE}" destId="{988E1FA5-88BA-4A30-9EF9-66AC42FEC29F}" srcOrd="3" destOrd="0" presId="urn:microsoft.com/office/officeart/2005/8/layout/cycle7"/>
    <dgm:cxn modelId="{E254984B-0D25-4A9D-835D-86C4907FD4F3}" type="presParOf" srcId="{988E1FA5-88BA-4A30-9EF9-66AC42FEC29F}" destId="{1A4A5D5D-F9EF-4252-9796-E37D87206877}" srcOrd="0" destOrd="0" presId="urn:microsoft.com/office/officeart/2005/8/layout/cycle7"/>
    <dgm:cxn modelId="{990959DF-E9C1-4ACE-9EF5-3BF87C203EC9}" type="presParOf" srcId="{5FAF6C2E-B494-4BCF-90B8-B77B896EF0FE}" destId="{D9D91028-BC71-4C6E-8FA1-242547B93646}" srcOrd="4" destOrd="0" presId="urn:microsoft.com/office/officeart/2005/8/layout/cycle7"/>
    <dgm:cxn modelId="{29CBC785-B385-493F-BF33-4E99C2188C59}" type="presParOf" srcId="{5FAF6C2E-B494-4BCF-90B8-B77B896EF0FE}" destId="{97330E7A-EDC4-431D-BDFD-87F795BE5710}" srcOrd="5" destOrd="0" presId="urn:microsoft.com/office/officeart/2005/8/layout/cycle7"/>
    <dgm:cxn modelId="{B0BDE140-0E5D-4612-946C-28C2731F134A}" type="presParOf" srcId="{97330E7A-EDC4-431D-BDFD-87F795BE5710}" destId="{AF5BFE40-D498-422B-A1AB-2DEBE715B30E}" srcOrd="0" destOrd="0" presId="urn:microsoft.com/office/officeart/2005/8/layout/cycle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3F708F-D9FC-4EEA-983F-0A85B8B32B61}" type="doc">
      <dgm:prSet loTypeId="urn:microsoft.com/office/officeart/2005/8/layout/process3" loCatId="process" qsTypeId="urn:microsoft.com/office/officeart/2005/8/quickstyle/simple1" qsCatId="simple" csTypeId="urn:microsoft.com/office/officeart/2005/8/colors/accent1_1" csCatId="accent1" phldr="1"/>
      <dgm:spPr/>
      <dgm:t>
        <a:bodyPr/>
        <a:lstStyle/>
        <a:p>
          <a:endParaRPr lang="en-US"/>
        </a:p>
      </dgm:t>
    </dgm:pt>
    <dgm:pt modelId="{8631D3D3-E719-473A-AECC-7D5811599AF3}">
      <dgm:prSet phldrT="[Text]" custT="1"/>
      <dgm:spPr/>
      <dgm:t>
        <a:bodyPr/>
        <a:lstStyle/>
        <a:p>
          <a:r>
            <a:rPr lang="en-US" sz="1200"/>
            <a:t>If </a:t>
          </a:r>
          <a:r>
            <a:rPr lang="en-US" sz="1200" b="1"/>
            <a:t>Alaska</a:t>
          </a:r>
        </a:p>
      </dgm:t>
    </dgm:pt>
    <dgm:pt modelId="{CE7D1C57-17E1-4DDF-AAF9-A916224734D9}" type="parTrans" cxnId="{6A5A4178-5BB6-412C-BA51-8AD28DE04F91}">
      <dgm:prSet/>
      <dgm:spPr/>
      <dgm:t>
        <a:bodyPr/>
        <a:lstStyle/>
        <a:p>
          <a:endParaRPr lang="en-US"/>
        </a:p>
      </dgm:t>
    </dgm:pt>
    <dgm:pt modelId="{FF5B0F48-561C-4CBA-94FF-9E1B7828BE4A}" type="sibTrans" cxnId="{6A5A4178-5BB6-412C-BA51-8AD28DE04F91}">
      <dgm:prSet/>
      <dgm:spPr/>
      <dgm:t>
        <a:bodyPr/>
        <a:lstStyle/>
        <a:p>
          <a:endParaRPr lang="en-US"/>
        </a:p>
      </dgm:t>
    </dgm:pt>
    <dgm:pt modelId="{A4F6DCF9-5335-4AEB-A170-25AA77710B69}">
      <dgm:prSet phldrT="[Text]"/>
      <dgm:spPr/>
      <dgm:t>
        <a:bodyPr/>
        <a:lstStyle/>
        <a:p>
          <a:r>
            <a:rPr lang="en-US"/>
            <a:t>Amplifies student learning</a:t>
          </a:r>
        </a:p>
      </dgm:t>
    </dgm:pt>
    <dgm:pt modelId="{8DC2DA36-6809-4A27-BE32-1BEC16DD1F5A}" type="parTrans" cxnId="{CABAA7FA-10FA-46FF-87E6-9722D80E881D}">
      <dgm:prSet/>
      <dgm:spPr/>
      <dgm:t>
        <a:bodyPr/>
        <a:lstStyle/>
        <a:p>
          <a:endParaRPr lang="en-US"/>
        </a:p>
      </dgm:t>
    </dgm:pt>
    <dgm:pt modelId="{FBF13342-5ED7-41D9-92EF-F528FEF24890}" type="sibTrans" cxnId="{CABAA7FA-10FA-46FF-87E6-9722D80E881D}">
      <dgm:prSet/>
      <dgm:spPr/>
      <dgm:t>
        <a:bodyPr/>
        <a:lstStyle/>
        <a:p>
          <a:endParaRPr lang="en-US"/>
        </a:p>
      </dgm:t>
    </dgm:pt>
    <dgm:pt modelId="{10B857B3-FABC-4299-A218-66F78F6F2414}">
      <dgm:prSet phldrT="[Text]" custT="1"/>
      <dgm:spPr/>
      <dgm:t>
        <a:bodyPr/>
        <a:lstStyle/>
        <a:p>
          <a:r>
            <a:rPr lang="en-US" sz="1100"/>
            <a:t>Then  </a:t>
          </a:r>
          <a:r>
            <a:rPr lang="en-US" sz="1100" b="1"/>
            <a:t>Districts</a:t>
          </a:r>
        </a:p>
      </dgm:t>
    </dgm:pt>
    <dgm:pt modelId="{6AA640E9-0462-434E-A462-7D5F14C45B46}" type="parTrans" cxnId="{F4DAFB8F-FA82-48AF-9231-07F58568BA1A}">
      <dgm:prSet/>
      <dgm:spPr/>
      <dgm:t>
        <a:bodyPr/>
        <a:lstStyle/>
        <a:p>
          <a:endParaRPr lang="en-US"/>
        </a:p>
      </dgm:t>
    </dgm:pt>
    <dgm:pt modelId="{86EDECDA-4BFF-4557-8E8B-BD6302CAD3C8}" type="sibTrans" cxnId="{F4DAFB8F-FA82-48AF-9231-07F58568BA1A}">
      <dgm:prSet/>
      <dgm:spPr/>
      <dgm:t>
        <a:bodyPr/>
        <a:lstStyle/>
        <a:p>
          <a:endParaRPr lang="en-US"/>
        </a:p>
      </dgm:t>
    </dgm:pt>
    <dgm:pt modelId="{0453BDF4-575C-402F-A21F-261757D4C134}">
      <dgm:prSet phldrT="[Text]"/>
      <dgm:spPr/>
      <dgm:t>
        <a:bodyPr/>
        <a:lstStyle/>
        <a:p>
          <a:r>
            <a:rPr lang="en-US"/>
            <a:t>Will be empowered to serve all students by</a:t>
          </a:r>
        </a:p>
      </dgm:t>
    </dgm:pt>
    <dgm:pt modelId="{B2123531-0BC5-4BC5-ACD8-320DB19EE21B}" type="parTrans" cxnId="{90BBD49F-C626-47BA-8EEC-0B3C6D05677B}">
      <dgm:prSet/>
      <dgm:spPr/>
      <dgm:t>
        <a:bodyPr/>
        <a:lstStyle/>
        <a:p>
          <a:endParaRPr lang="en-US"/>
        </a:p>
      </dgm:t>
    </dgm:pt>
    <dgm:pt modelId="{9AE22570-324C-4823-AD75-87023B3C9D5A}" type="sibTrans" cxnId="{90BBD49F-C626-47BA-8EEC-0B3C6D05677B}">
      <dgm:prSet/>
      <dgm:spPr/>
      <dgm:t>
        <a:bodyPr/>
        <a:lstStyle/>
        <a:p>
          <a:endParaRPr lang="en-US"/>
        </a:p>
      </dgm:t>
    </dgm:pt>
    <dgm:pt modelId="{26BFD7AA-6509-46B8-82E7-03D20E64BD60}">
      <dgm:prSet phldrT="[Text]" custT="1"/>
      <dgm:spPr/>
      <dgm:t>
        <a:bodyPr/>
        <a:lstStyle/>
        <a:p>
          <a:r>
            <a:rPr lang="en-US" sz="1100"/>
            <a:t>Then </a:t>
          </a:r>
          <a:r>
            <a:rPr lang="en-US" sz="1100" b="1"/>
            <a:t>Schools</a:t>
          </a:r>
        </a:p>
      </dgm:t>
    </dgm:pt>
    <dgm:pt modelId="{5E9539FB-C49E-479C-B744-9EC7B6EA5CE5}" type="parTrans" cxnId="{5C1DF6B1-9CEB-440D-A887-79D2CEBA6E0E}">
      <dgm:prSet/>
      <dgm:spPr/>
      <dgm:t>
        <a:bodyPr/>
        <a:lstStyle/>
        <a:p>
          <a:endParaRPr lang="en-US"/>
        </a:p>
      </dgm:t>
    </dgm:pt>
    <dgm:pt modelId="{9634A056-4D26-49A9-A9E0-D71BE7F517BA}" type="sibTrans" cxnId="{5C1DF6B1-9CEB-440D-A887-79D2CEBA6E0E}">
      <dgm:prSet/>
      <dgm:spPr/>
      <dgm:t>
        <a:bodyPr/>
        <a:lstStyle/>
        <a:p>
          <a:endParaRPr lang="en-US"/>
        </a:p>
      </dgm:t>
    </dgm:pt>
    <dgm:pt modelId="{BEB99776-0525-447C-A87C-2202A35CCA7E}">
      <dgm:prSet phldrT="[Text]"/>
      <dgm:spPr/>
      <dgm:t>
        <a:bodyPr/>
        <a:lstStyle/>
        <a:p>
          <a:r>
            <a:rPr lang="en-US"/>
            <a:t>Will have the capacity to provide an excellent education for every student every day:</a:t>
          </a:r>
        </a:p>
      </dgm:t>
    </dgm:pt>
    <dgm:pt modelId="{9ED5C5DC-3934-4641-8DC4-4619F0CA7327}" type="parTrans" cxnId="{C194D253-78AA-42F0-9A39-8CDD7AA7CF27}">
      <dgm:prSet/>
      <dgm:spPr/>
      <dgm:t>
        <a:bodyPr/>
        <a:lstStyle/>
        <a:p>
          <a:endParaRPr lang="en-US"/>
        </a:p>
      </dgm:t>
    </dgm:pt>
    <dgm:pt modelId="{E609F13E-01DC-4903-9979-F29DE9004E83}" type="sibTrans" cxnId="{C194D253-78AA-42F0-9A39-8CDD7AA7CF27}">
      <dgm:prSet/>
      <dgm:spPr/>
      <dgm:t>
        <a:bodyPr/>
        <a:lstStyle/>
        <a:p>
          <a:endParaRPr lang="en-US"/>
        </a:p>
      </dgm:t>
    </dgm:pt>
    <dgm:pt modelId="{83D422E2-F083-4EDD-8FA0-8DF9BBD848CD}">
      <dgm:prSet phldrT="[Text]"/>
      <dgm:spPr/>
      <dgm:t>
        <a:bodyPr/>
        <a:lstStyle/>
        <a:p>
          <a:endParaRPr lang="en-US"/>
        </a:p>
      </dgm:t>
    </dgm:pt>
    <dgm:pt modelId="{14C7C621-A114-4F91-8E9F-B1FF315CF781}" type="parTrans" cxnId="{1D64FAA7-2EF7-4700-896B-5439B01E0C35}">
      <dgm:prSet/>
      <dgm:spPr/>
      <dgm:t>
        <a:bodyPr/>
        <a:lstStyle/>
        <a:p>
          <a:endParaRPr lang="en-US"/>
        </a:p>
      </dgm:t>
    </dgm:pt>
    <dgm:pt modelId="{6630029B-0A3E-4F02-B723-CDD45D12C4C5}" type="sibTrans" cxnId="{1D64FAA7-2EF7-4700-896B-5439B01E0C35}">
      <dgm:prSet/>
      <dgm:spPr/>
      <dgm:t>
        <a:bodyPr/>
        <a:lstStyle/>
        <a:p>
          <a:endParaRPr lang="en-US"/>
        </a:p>
      </dgm:t>
    </dgm:pt>
    <dgm:pt modelId="{D008B556-4A48-4FE3-A483-2683BF7C7838}">
      <dgm:prSet phldrT="[Text]"/>
      <dgm:spPr/>
      <dgm:t>
        <a:bodyPr/>
        <a:lstStyle/>
        <a:p>
          <a:r>
            <a:rPr lang="en-US"/>
            <a:t>ensuring effective leadership</a:t>
          </a:r>
        </a:p>
      </dgm:t>
    </dgm:pt>
    <dgm:pt modelId="{15D0477B-2F84-4C3A-BCBE-2197FAEB43D0}" type="parTrans" cxnId="{E799C06B-6E5F-476F-9A2D-AE0E92D9207A}">
      <dgm:prSet/>
      <dgm:spPr/>
      <dgm:t>
        <a:bodyPr/>
        <a:lstStyle/>
        <a:p>
          <a:endParaRPr lang="en-US"/>
        </a:p>
      </dgm:t>
    </dgm:pt>
    <dgm:pt modelId="{C66118A0-3B4C-42D5-90A7-184B704B0E9B}" type="sibTrans" cxnId="{E799C06B-6E5F-476F-9A2D-AE0E92D9207A}">
      <dgm:prSet/>
      <dgm:spPr/>
      <dgm:t>
        <a:bodyPr/>
        <a:lstStyle/>
        <a:p>
          <a:endParaRPr lang="en-US"/>
        </a:p>
      </dgm:t>
    </dgm:pt>
    <dgm:pt modelId="{4995DD89-7FF2-4F00-9102-D92888B8E8E8}">
      <dgm:prSet phldrT="[Text]"/>
      <dgm:spPr/>
      <dgm:t>
        <a:bodyPr/>
        <a:lstStyle/>
        <a:p>
          <a:r>
            <a:rPr lang="en-US"/>
            <a:t>recruiting and retaining effective teachers</a:t>
          </a:r>
        </a:p>
      </dgm:t>
    </dgm:pt>
    <dgm:pt modelId="{3FB7E686-40DC-499E-A4EB-1188957AE165}" type="parTrans" cxnId="{8B7998EC-E422-4807-9AFF-AEF19B8CE3E9}">
      <dgm:prSet/>
      <dgm:spPr/>
      <dgm:t>
        <a:bodyPr/>
        <a:lstStyle/>
        <a:p>
          <a:endParaRPr lang="en-US"/>
        </a:p>
      </dgm:t>
    </dgm:pt>
    <dgm:pt modelId="{61555576-658D-45BC-A4BA-361DC2CE2898}" type="sibTrans" cxnId="{8B7998EC-E422-4807-9AFF-AEF19B8CE3E9}">
      <dgm:prSet/>
      <dgm:spPr/>
      <dgm:t>
        <a:bodyPr/>
        <a:lstStyle/>
        <a:p>
          <a:endParaRPr lang="en-US"/>
        </a:p>
      </dgm:t>
    </dgm:pt>
    <dgm:pt modelId="{DC53D214-74F3-4F21-BEF9-5BC6AB1F8174}">
      <dgm:prSet phldrT="[Text]"/>
      <dgm:spPr/>
      <dgm:t>
        <a:bodyPr/>
        <a:lstStyle/>
        <a:p>
          <a:r>
            <a:rPr lang="en-US"/>
            <a:t>training and supporting teachers in effective instructional practices	</a:t>
          </a:r>
        </a:p>
      </dgm:t>
    </dgm:pt>
    <dgm:pt modelId="{DA1CBFCB-B418-482A-B9B7-6D3CDAE12921}" type="parTrans" cxnId="{8DD5CB19-5900-49E5-BCB3-3CCAC5784F8F}">
      <dgm:prSet/>
      <dgm:spPr/>
      <dgm:t>
        <a:bodyPr/>
        <a:lstStyle/>
        <a:p>
          <a:endParaRPr lang="en-US"/>
        </a:p>
      </dgm:t>
    </dgm:pt>
    <dgm:pt modelId="{24B6A490-DDD0-4B86-92EA-468B4CEAF186}" type="sibTrans" cxnId="{8DD5CB19-5900-49E5-BCB3-3CCAC5784F8F}">
      <dgm:prSet/>
      <dgm:spPr/>
      <dgm:t>
        <a:bodyPr/>
        <a:lstStyle/>
        <a:p>
          <a:endParaRPr lang="en-US"/>
        </a:p>
      </dgm:t>
    </dgm:pt>
    <dgm:pt modelId="{9C7C729E-F52A-4A2F-92BB-7A5A21F76E6B}">
      <dgm:prSet phldrT="[Text]" custT="1"/>
      <dgm:spPr/>
      <dgm:t>
        <a:bodyPr/>
        <a:lstStyle/>
        <a:p>
          <a:r>
            <a:rPr lang="en-US" sz="1100" b="1"/>
            <a:t>Student</a:t>
          </a:r>
          <a:r>
            <a:rPr lang="en-US" sz="1100"/>
            <a:t> Outcomes</a:t>
          </a:r>
          <a:endParaRPr lang="en-US" sz="1100" b="1"/>
        </a:p>
      </dgm:t>
    </dgm:pt>
    <dgm:pt modelId="{6D495163-CE18-4F5F-9130-57CB0E47E86B}" type="parTrans" cxnId="{5144A8EA-263B-4400-B9F3-5284C94F975E}">
      <dgm:prSet/>
      <dgm:spPr/>
      <dgm:t>
        <a:bodyPr/>
        <a:lstStyle/>
        <a:p>
          <a:endParaRPr lang="en-US"/>
        </a:p>
      </dgm:t>
    </dgm:pt>
    <dgm:pt modelId="{C0582C87-8E0A-4F76-ABA9-05F45724C4AA}" type="sibTrans" cxnId="{5144A8EA-263B-4400-B9F3-5284C94F975E}">
      <dgm:prSet/>
      <dgm:spPr/>
      <dgm:t>
        <a:bodyPr/>
        <a:lstStyle/>
        <a:p>
          <a:endParaRPr lang="en-US"/>
        </a:p>
      </dgm:t>
    </dgm:pt>
    <dgm:pt modelId="{5E3DBADA-C906-4E66-A6E0-855AB080E497}">
      <dgm:prSet/>
      <dgm:spPr/>
      <dgm:t>
        <a:bodyPr/>
        <a:lstStyle/>
        <a:p>
          <a:r>
            <a:rPr lang="en-US"/>
            <a:t>All students can:</a:t>
          </a:r>
        </a:p>
      </dgm:t>
    </dgm:pt>
    <dgm:pt modelId="{071FDFAD-61FD-4AE0-80D6-B8C1D006B3FB}" type="parTrans" cxnId="{07B9B0F1-CD37-4094-B360-A82F4BBC7F0A}">
      <dgm:prSet/>
      <dgm:spPr/>
      <dgm:t>
        <a:bodyPr/>
        <a:lstStyle/>
        <a:p>
          <a:endParaRPr lang="en-US"/>
        </a:p>
      </dgm:t>
    </dgm:pt>
    <dgm:pt modelId="{F548943B-1FE3-4F7A-9757-FFC651F5761D}" type="sibTrans" cxnId="{07B9B0F1-CD37-4094-B360-A82F4BBC7F0A}">
      <dgm:prSet/>
      <dgm:spPr/>
      <dgm:t>
        <a:bodyPr/>
        <a:lstStyle/>
        <a:p>
          <a:endParaRPr lang="en-US"/>
        </a:p>
      </dgm:t>
    </dgm:pt>
    <dgm:pt modelId="{D891EB75-6BE3-454C-976A-5CA557228E6F}">
      <dgm:prSet/>
      <dgm:spPr/>
      <dgm:t>
        <a:bodyPr/>
        <a:lstStyle/>
        <a:p>
          <a:endParaRPr lang="en-US"/>
        </a:p>
      </dgm:t>
    </dgm:pt>
    <dgm:pt modelId="{7450FB2B-409A-4C14-A30A-5A5A202170C5}" type="parTrans" cxnId="{ECE45B69-9C2A-41E6-8761-CC5B14B0F7A7}">
      <dgm:prSet/>
      <dgm:spPr/>
      <dgm:t>
        <a:bodyPr/>
        <a:lstStyle/>
        <a:p>
          <a:endParaRPr lang="en-US"/>
        </a:p>
      </dgm:t>
    </dgm:pt>
    <dgm:pt modelId="{E1A35F24-9ED4-4016-A59E-D8BDE53B6C9B}" type="sibTrans" cxnId="{ECE45B69-9C2A-41E6-8761-CC5B14B0F7A7}">
      <dgm:prSet/>
      <dgm:spPr/>
      <dgm:t>
        <a:bodyPr/>
        <a:lstStyle/>
        <a:p>
          <a:endParaRPr lang="en-US"/>
        </a:p>
      </dgm:t>
    </dgm:pt>
    <dgm:pt modelId="{810389C4-F569-421F-9CF1-A9A8A6B0549E}">
      <dgm:prSet/>
      <dgm:spPr/>
      <dgm:t>
        <a:bodyPr/>
        <a:lstStyle/>
        <a:p>
          <a:r>
            <a:rPr lang="en-US"/>
            <a:t>shape worthwhile and satisfying lives for themselves</a:t>
          </a:r>
        </a:p>
      </dgm:t>
    </dgm:pt>
    <dgm:pt modelId="{95AB9515-B0FE-4435-BE8D-0166D9450F0C}" type="parTrans" cxnId="{A480564A-5903-41F0-A2D9-D4CFC118A7D6}">
      <dgm:prSet/>
      <dgm:spPr/>
      <dgm:t>
        <a:bodyPr/>
        <a:lstStyle/>
        <a:p>
          <a:endParaRPr lang="en-US"/>
        </a:p>
      </dgm:t>
    </dgm:pt>
    <dgm:pt modelId="{21471804-BDD7-44BD-B93C-936C35CB4EE0}" type="sibTrans" cxnId="{A480564A-5903-41F0-A2D9-D4CFC118A7D6}">
      <dgm:prSet/>
      <dgm:spPr/>
      <dgm:t>
        <a:bodyPr/>
        <a:lstStyle/>
        <a:p>
          <a:endParaRPr lang="en-US"/>
        </a:p>
      </dgm:t>
    </dgm:pt>
    <dgm:pt modelId="{CCE927C0-8653-4361-BD66-F39515E64C19}">
      <dgm:prSet/>
      <dgm:spPr/>
      <dgm:t>
        <a:bodyPr/>
        <a:lstStyle/>
        <a:p>
          <a:r>
            <a:rPr lang="en-US"/>
            <a:t>exemplify the best values of society</a:t>
          </a:r>
        </a:p>
      </dgm:t>
    </dgm:pt>
    <dgm:pt modelId="{E59E62E1-9F0F-484E-A668-CD7EDCE12980}" type="parTrans" cxnId="{0599CE83-B1BC-4951-A8FF-6A13D7EE2D4B}">
      <dgm:prSet/>
      <dgm:spPr/>
      <dgm:t>
        <a:bodyPr/>
        <a:lstStyle/>
        <a:p>
          <a:endParaRPr lang="en-US"/>
        </a:p>
      </dgm:t>
    </dgm:pt>
    <dgm:pt modelId="{66547DE4-11B5-4AFD-B96B-78D7922902B8}" type="sibTrans" cxnId="{0599CE83-B1BC-4951-A8FF-6A13D7EE2D4B}">
      <dgm:prSet/>
      <dgm:spPr/>
      <dgm:t>
        <a:bodyPr/>
        <a:lstStyle/>
        <a:p>
          <a:endParaRPr lang="en-US"/>
        </a:p>
      </dgm:t>
    </dgm:pt>
    <dgm:pt modelId="{889BB85A-9561-4BB9-81CA-029560A7BD5A}">
      <dgm:prSet/>
      <dgm:spPr/>
      <dgm:t>
        <a:bodyPr/>
        <a:lstStyle/>
        <a:p>
          <a:r>
            <a:rPr lang="en-US"/>
            <a:t>be effective in improving the character and quality of the world about them</a:t>
          </a:r>
        </a:p>
      </dgm:t>
    </dgm:pt>
    <dgm:pt modelId="{C9CBD7F4-6919-42C6-A406-62E0934B861F}" type="parTrans" cxnId="{E73E5748-3AF3-43E3-9553-957551FF4763}">
      <dgm:prSet/>
      <dgm:spPr/>
      <dgm:t>
        <a:bodyPr/>
        <a:lstStyle/>
        <a:p>
          <a:endParaRPr lang="en-US"/>
        </a:p>
      </dgm:t>
    </dgm:pt>
    <dgm:pt modelId="{5AF5F563-FC41-4F62-B754-28AFD7F7870B}" type="sibTrans" cxnId="{E73E5748-3AF3-43E3-9553-957551FF4763}">
      <dgm:prSet/>
      <dgm:spPr/>
      <dgm:t>
        <a:bodyPr/>
        <a:lstStyle/>
        <a:p>
          <a:endParaRPr lang="en-US"/>
        </a:p>
      </dgm:t>
    </dgm:pt>
    <dgm:pt modelId="{3DCD29AD-2127-43DF-9ABD-4EF394DAEB25}">
      <dgm:prSet/>
      <dgm:spPr/>
      <dgm:t>
        <a:bodyPr/>
        <a:lstStyle/>
        <a:p>
          <a:r>
            <a:rPr lang="en-US"/>
            <a:t> succeed in their education and work</a:t>
          </a:r>
        </a:p>
      </dgm:t>
    </dgm:pt>
    <dgm:pt modelId="{887451CE-D183-49B2-915D-D25843AD402C}" type="parTrans" cxnId="{313DC651-1A0C-487A-84F9-A0C533B0ABA7}">
      <dgm:prSet/>
      <dgm:spPr/>
      <dgm:t>
        <a:bodyPr/>
        <a:lstStyle/>
        <a:p>
          <a:endParaRPr lang="en-US"/>
        </a:p>
      </dgm:t>
    </dgm:pt>
    <dgm:pt modelId="{D7C0363F-A4CE-42DF-9B89-F991767DACCE}" type="sibTrans" cxnId="{313DC651-1A0C-487A-84F9-A0C533B0ABA7}">
      <dgm:prSet/>
      <dgm:spPr/>
      <dgm:t>
        <a:bodyPr/>
        <a:lstStyle/>
        <a:p>
          <a:endParaRPr lang="en-US"/>
        </a:p>
      </dgm:t>
    </dgm:pt>
    <dgm:pt modelId="{4AB7686D-A43D-4D69-960D-5384E23AA71F}">
      <dgm:prSet phldrT="[Text]"/>
      <dgm:spPr/>
      <dgm:t>
        <a:bodyPr/>
        <a:lstStyle/>
        <a:p>
          <a:r>
            <a:rPr lang="en-US"/>
            <a:t>Inspires community and tribal  ownership of educational excellence</a:t>
          </a:r>
        </a:p>
      </dgm:t>
    </dgm:pt>
    <dgm:pt modelId="{C5EBB745-C22C-4845-80D8-B25B9F00BE82}" type="parTrans" cxnId="{E90C81AC-5F51-439B-BE9C-4D588CE8EFA8}">
      <dgm:prSet/>
      <dgm:spPr/>
      <dgm:t>
        <a:bodyPr/>
        <a:lstStyle/>
        <a:p>
          <a:endParaRPr lang="en-US"/>
        </a:p>
      </dgm:t>
    </dgm:pt>
    <dgm:pt modelId="{71FD2B4B-EE8B-420A-A4AB-9C3BEE5E6B03}" type="sibTrans" cxnId="{E90C81AC-5F51-439B-BE9C-4D588CE8EFA8}">
      <dgm:prSet/>
      <dgm:spPr/>
      <dgm:t>
        <a:bodyPr/>
        <a:lstStyle/>
        <a:p>
          <a:endParaRPr lang="en-US"/>
        </a:p>
      </dgm:t>
    </dgm:pt>
    <dgm:pt modelId="{6B8FA0EC-43B7-477A-BC9C-5F409CB6BA77}">
      <dgm:prSet phldrT="[Text]"/>
      <dgm:spPr/>
      <dgm:t>
        <a:bodyPr/>
        <a:lstStyle/>
        <a:p>
          <a:r>
            <a:rPr lang="en-US"/>
            <a:t>Modernizes the education system</a:t>
          </a:r>
        </a:p>
      </dgm:t>
    </dgm:pt>
    <dgm:pt modelId="{1799042F-B734-4ABE-AFFF-DEDA8C751519}" type="parTrans" cxnId="{95DAE51E-EFC1-44DD-9F20-ECD7AD7A5E40}">
      <dgm:prSet/>
      <dgm:spPr/>
      <dgm:t>
        <a:bodyPr/>
        <a:lstStyle/>
        <a:p>
          <a:endParaRPr lang="en-US"/>
        </a:p>
      </dgm:t>
    </dgm:pt>
    <dgm:pt modelId="{03E7FBD6-059B-416E-B0EF-4387A2A79910}" type="sibTrans" cxnId="{95DAE51E-EFC1-44DD-9F20-ECD7AD7A5E40}">
      <dgm:prSet/>
      <dgm:spPr/>
      <dgm:t>
        <a:bodyPr/>
        <a:lstStyle/>
        <a:p>
          <a:endParaRPr lang="en-US"/>
        </a:p>
      </dgm:t>
    </dgm:pt>
    <dgm:pt modelId="{E511F52D-0095-4FE8-82C2-55E80BB79E11}">
      <dgm:prSet phldrT="[Text]"/>
      <dgm:spPr/>
      <dgm:t>
        <a:bodyPr/>
        <a:lstStyle/>
        <a:p>
          <a:endParaRPr lang="en-US"/>
        </a:p>
      </dgm:t>
    </dgm:pt>
    <dgm:pt modelId="{C22FDE81-4BF5-421F-97D6-DCB7E9A70E0F}" type="parTrans" cxnId="{85FD8412-88CB-46E3-8A84-8838CA9D5389}">
      <dgm:prSet/>
      <dgm:spPr/>
      <dgm:t>
        <a:bodyPr/>
        <a:lstStyle/>
        <a:p>
          <a:endParaRPr lang="en-US"/>
        </a:p>
      </dgm:t>
    </dgm:pt>
    <dgm:pt modelId="{319CCC1D-9EEA-4372-B02F-4EEE5CAF45EE}" type="sibTrans" cxnId="{85FD8412-88CB-46E3-8A84-8838CA9D5389}">
      <dgm:prSet/>
      <dgm:spPr/>
      <dgm:t>
        <a:bodyPr/>
        <a:lstStyle/>
        <a:p>
          <a:endParaRPr lang="en-US"/>
        </a:p>
      </dgm:t>
    </dgm:pt>
    <dgm:pt modelId="{5F5D9D6F-E7B3-4540-A6DC-D42DCC95722A}">
      <dgm:prSet phldrT="[Text]"/>
      <dgm:spPr/>
      <dgm:t>
        <a:bodyPr/>
        <a:lstStyle/>
        <a:p>
          <a:r>
            <a:rPr lang="en-US"/>
            <a:t>Ensures excellent educators</a:t>
          </a:r>
        </a:p>
      </dgm:t>
    </dgm:pt>
    <dgm:pt modelId="{EA8FAFF4-DE6D-4122-9EDE-8BA44922ABDB}" type="parTrans" cxnId="{FAB665AA-D6C2-41A6-AFCA-77C1BC8C6B03}">
      <dgm:prSet/>
      <dgm:spPr/>
      <dgm:t>
        <a:bodyPr/>
        <a:lstStyle/>
        <a:p>
          <a:endParaRPr lang="en-US"/>
        </a:p>
      </dgm:t>
    </dgm:pt>
    <dgm:pt modelId="{A207E8A9-4FB6-4422-881A-0B9AC0CDA68B}" type="sibTrans" cxnId="{FAB665AA-D6C2-41A6-AFCA-77C1BC8C6B03}">
      <dgm:prSet/>
      <dgm:spPr/>
      <dgm:t>
        <a:bodyPr/>
        <a:lstStyle/>
        <a:p>
          <a:endParaRPr lang="en-US"/>
        </a:p>
      </dgm:t>
    </dgm:pt>
    <dgm:pt modelId="{083CFCB1-D4D8-4D94-9BDD-5D9DD97F93FC}">
      <dgm:prSet phldrT="[Text]"/>
      <dgm:spPr/>
      <dgm:t>
        <a:bodyPr/>
        <a:lstStyle/>
        <a:p>
          <a:r>
            <a:rPr lang="en-US"/>
            <a:t>Promotes safety and well-being</a:t>
          </a:r>
        </a:p>
      </dgm:t>
    </dgm:pt>
    <dgm:pt modelId="{0D975F45-D5F7-46BF-8F3B-834B122E9904}" type="parTrans" cxnId="{C83C6E05-8C44-408E-83BF-D48D86FF1784}">
      <dgm:prSet/>
      <dgm:spPr/>
      <dgm:t>
        <a:bodyPr/>
        <a:lstStyle/>
        <a:p>
          <a:endParaRPr lang="en-US"/>
        </a:p>
      </dgm:t>
    </dgm:pt>
    <dgm:pt modelId="{E516F75A-FD92-4F10-A57A-4E5A6E4F0E0C}" type="sibTrans" cxnId="{C83C6E05-8C44-408E-83BF-D48D86FF1784}">
      <dgm:prSet/>
      <dgm:spPr/>
      <dgm:t>
        <a:bodyPr/>
        <a:lstStyle/>
        <a:p>
          <a:endParaRPr lang="en-US"/>
        </a:p>
      </dgm:t>
    </dgm:pt>
    <dgm:pt modelId="{C2A9F2EE-0305-490F-9330-EF46D81D5D4B}">
      <dgm:prSet phldrT="[Text]"/>
      <dgm:spPr/>
      <dgm:t>
        <a:bodyPr/>
        <a:lstStyle/>
        <a:p>
          <a:r>
            <a:rPr lang="en-US"/>
            <a:t>What do we want out students to know and do?</a:t>
          </a:r>
        </a:p>
      </dgm:t>
    </dgm:pt>
    <dgm:pt modelId="{DA87E5DB-BF36-405E-8433-3C3C150BB1C1}" type="parTrans" cxnId="{9AB6DDDD-28DF-4821-931A-4E65D42C01BE}">
      <dgm:prSet/>
      <dgm:spPr/>
      <dgm:t>
        <a:bodyPr/>
        <a:lstStyle/>
        <a:p>
          <a:endParaRPr lang="en-US"/>
        </a:p>
      </dgm:t>
    </dgm:pt>
    <dgm:pt modelId="{F707F5E7-59F9-47D4-AD12-86DE4FEB1AB9}" type="sibTrans" cxnId="{9AB6DDDD-28DF-4821-931A-4E65D42C01BE}">
      <dgm:prSet/>
      <dgm:spPr/>
      <dgm:t>
        <a:bodyPr/>
        <a:lstStyle/>
        <a:p>
          <a:endParaRPr lang="en-US"/>
        </a:p>
      </dgm:t>
    </dgm:pt>
    <dgm:pt modelId="{E8B42F4C-C3D9-45EF-A581-39EDDF2C1D96}">
      <dgm:prSet/>
      <dgm:spPr/>
      <dgm:t>
        <a:bodyPr/>
        <a:lstStyle/>
        <a:p>
          <a:r>
            <a:rPr lang="en-US"/>
            <a:t>How will we teach them?</a:t>
          </a:r>
        </a:p>
      </dgm:t>
    </dgm:pt>
    <dgm:pt modelId="{441F5782-F45A-4571-88CF-E5FAAD32892B}" type="parTrans" cxnId="{E452581B-22A6-4470-963F-6E814C9836FD}">
      <dgm:prSet/>
      <dgm:spPr/>
      <dgm:t>
        <a:bodyPr/>
        <a:lstStyle/>
        <a:p>
          <a:endParaRPr lang="en-US"/>
        </a:p>
      </dgm:t>
    </dgm:pt>
    <dgm:pt modelId="{CA16EB63-30A7-489B-962C-0A3390278C85}" type="sibTrans" cxnId="{E452581B-22A6-4470-963F-6E814C9836FD}">
      <dgm:prSet/>
      <dgm:spPr/>
      <dgm:t>
        <a:bodyPr/>
        <a:lstStyle/>
        <a:p>
          <a:endParaRPr lang="en-US"/>
        </a:p>
      </dgm:t>
    </dgm:pt>
    <dgm:pt modelId="{D08D1D2A-5BA8-4E6A-9013-D5B67B93A056}">
      <dgm:prSet/>
      <dgm:spPr/>
      <dgm:t>
        <a:bodyPr/>
        <a:lstStyle/>
        <a:p>
          <a:r>
            <a:rPr lang="en-US"/>
            <a:t>How will we know if they learned it?</a:t>
          </a:r>
        </a:p>
      </dgm:t>
    </dgm:pt>
    <dgm:pt modelId="{5BE32856-846E-4972-8487-6088A8D9F9DB}" type="parTrans" cxnId="{F6734C12-F541-4A7C-A73C-A2C4B112C1F3}">
      <dgm:prSet/>
      <dgm:spPr/>
      <dgm:t>
        <a:bodyPr/>
        <a:lstStyle/>
        <a:p>
          <a:endParaRPr lang="en-US"/>
        </a:p>
      </dgm:t>
    </dgm:pt>
    <dgm:pt modelId="{54CFF873-7D6B-4F10-A98F-B3FDABD73F60}" type="sibTrans" cxnId="{F6734C12-F541-4A7C-A73C-A2C4B112C1F3}">
      <dgm:prSet/>
      <dgm:spPr/>
      <dgm:t>
        <a:bodyPr/>
        <a:lstStyle/>
        <a:p>
          <a:endParaRPr lang="en-US"/>
        </a:p>
      </dgm:t>
    </dgm:pt>
    <dgm:pt modelId="{1001040C-AB04-420D-AA94-D90F379B46EB}">
      <dgm:prSet/>
      <dgm:spPr/>
      <dgm:t>
        <a:bodyPr/>
        <a:lstStyle/>
        <a:p>
          <a:r>
            <a:rPr lang="en-US"/>
            <a:t>What will we do if do not learn it?</a:t>
          </a:r>
        </a:p>
      </dgm:t>
    </dgm:pt>
    <dgm:pt modelId="{11BD377B-BA9E-480A-BB75-7A2E2BE4770F}" type="parTrans" cxnId="{C9CFAD7A-9F16-46B4-9DB6-D1CE0BDBE495}">
      <dgm:prSet/>
      <dgm:spPr/>
      <dgm:t>
        <a:bodyPr/>
        <a:lstStyle/>
        <a:p>
          <a:endParaRPr lang="en-US"/>
        </a:p>
      </dgm:t>
    </dgm:pt>
    <dgm:pt modelId="{B7AE16EC-5863-42AE-B79E-0A4AFE632ED5}" type="sibTrans" cxnId="{C9CFAD7A-9F16-46B4-9DB6-D1CE0BDBE495}">
      <dgm:prSet/>
      <dgm:spPr/>
      <dgm:t>
        <a:bodyPr/>
        <a:lstStyle/>
        <a:p>
          <a:endParaRPr lang="en-US"/>
        </a:p>
      </dgm:t>
    </dgm:pt>
    <dgm:pt modelId="{BEC51D27-C20B-4EE5-81BE-D83D1EDC75FC}">
      <dgm:prSet/>
      <dgm:spPr/>
      <dgm:t>
        <a:bodyPr/>
        <a:lstStyle/>
        <a:p>
          <a:r>
            <a:rPr lang="en-US"/>
            <a:t>What will we do if they already know it?</a:t>
          </a:r>
        </a:p>
      </dgm:t>
    </dgm:pt>
    <dgm:pt modelId="{8BD076D3-D56C-4DC8-ADB9-3738EDEDB986}" type="parTrans" cxnId="{77F63C25-F113-4059-B192-3943D21DBA33}">
      <dgm:prSet/>
      <dgm:spPr/>
      <dgm:t>
        <a:bodyPr/>
        <a:lstStyle/>
        <a:p>
          <a:endParaRPr lang="en-US"/>
        </a:p>
      </dgm:t>
    </dgm:pt>
    <dgm:pt modelId="{CA099E22-840D-44B6-87A7-128260A1BF40}" type="sibTrans" cxnId="{77F63C25-F113-4059-B192-3943D21DBA33}">
      <dgm:prSet/>
      <dgm:spPr/>
      <dgm:t>
        <a:bodyPr/>
        <a:lstStyle/>
        <a:p>
          <a:endParaRPr lang="en-US"/>
        </a:p>
      </dgm:t>
    </dgm:pt>
    <dgm:pt modelId="{BA7F673B-68AC-4962-BC37-0FC392CE5859}" type="pres">
      <dgm:prSet presAssocID="{633F708F-D9FC-4EEA-983F-0A85B8B32B61}" presName="linearFlow" presStyleCnt="0">
        <dgm:presLayoutVars>
          <dgm:dir/>
          <dgm:animLvl val="lvl"/>
          <dgm:resizeHandles val="exact"/>
        </dgm:presLayoutVars>
      </dgm:prSet>
      <dgm:spPr/>
      <dgm:t>
        <a:bodyPr/>
        <a:lstStyle/>
        <a:p>
          <a:endParaRPr lang="en-US"/>
        </a:p>
      </dgm:t>
    </dgm:pt>
    <dgm:pt modelId="{CA50B730-73AB-4122-9AAC-3A72F3451492}" type="pres">
      <dgm:prSet presAssocID="{8631D3D3-E719-473A-AECC-7D5811599AF3}" presName="composite" presStyleCnt="0"/>
      <dgm:spPr/>
    </dgm:pt>
    <dgm:pt modelId="{00659630-7FD4-4D73-BFD8-7B86465F4824}" type="pres">
      <dgm:prSet presAssocID="{8631D3D3-E719-473A-AECC-7D5811599AF3}" presName="parTx" presStyleLbl="node1" presStyleIdx="0" presStyleCnt="4">
        <dgm:presLayoutVars>
          <dgm:chMax val="0"/>
          <dgm:chPref val="0"/>
          <dgm:bulletEnabled val="1"/>
        </dgm:presLayoutVars>
      </dgm:prSet>
      <dgm:spPr/>
      <dgm:t>
        <a:bodyPr/>
        <a:lstStyle/>
        <a:p>
          <a:endParaRPr lang="en-US"/>
        </a:p>
      </dgm:t>
    </dgm:pt>
    <dgm:pt modelId="{7971CC32-DA86-4BD2-BFF0-BDFAA283FEA0}" type="pres">
      <dgm:prSet presAssocID="{8631D3D3-E719-473A-AECC-7D5811599AF3}" presName="parSh" presStyleLbl="node1" presStyleIdx="0" presStyleCnt="4"/>
      <dgm:spPr/>
      <dgm:t>
        <a:bodyPr/>
        <a:lstStyle/>
        <a:p>
          <a:endParaRPr lang="en-US"/>
        </a:p>
      </dgm:t>
    </dgm:pt>
    <dgm:pt modelId="{C05C7676-A2E4-49B4-8D6D-F465D69E0A73}" type="pres">
      <dgm:prSet presAssocID="{8631D3D3-E719-473A-AECC-7D5811599AF3}" presName="desTx" presStyleLbl="fgAcc1" presStyleIdx="0" presStyleCnt="4">
        <dgm:presLayoutVars>
          <dgm:bulletEnabled val="1"/>
        </dgm:presLayoutVars>
      </dgm:prSet>
      <dgm:spPr/>
      <dgm:t>
        <a:bodyPr/>
        <a:lstStyle/>
        <a:p>
          <a:endParaRPr lang="en-US"/>
        </a:p>
      </dgm:t>
    </dgm:pt>
    <dgm:pt modelId="{DE7272FF-C68E-4450-BB1C-0B2D5300B7BC}" type="pres">
      <dgm:prSet presAssocID="{FF5B0F48-561C-4CBA-94FF-9E1B7828BE4A}" presName="sibTrans" presStyleLbl="sibTrans2D1" presStyleIdx="0" presStyleCnt="3"/>
      <dgm:spPr/>
      <dgm:t>
        <a:bodyPr/>
        <a:lstStyle/>
        <a:p>
          <a:endParaRPr lang="en-US"/>
        </a:p>
      </dgm:t>
    </dgm:pt>
    <dgm:pt modelId="{1B2BA753-69D0-4294-97BE-F8442A6EAEB2}" type="pres">
      <dgm:prSet presAssocID="{FF5B0F48-561C-4CBA-94FF-9E1B7828BE4A}" presName="connTx" presStyleLbl="sibTrans2D1" presStyleIdx="0" presStyleCnt="3"/>
      <dgm:spPr/>
      <dgm:t>
        <a:bodyPr/>
        <a:lstStyle/>
        <a:p>
          <a:endParaRPr lang="en-US"/>
        </a:p>
      </dgm:t>
    </dgm:pt>
    <dgm:pt modelId="{136DC542-EF46-4AEE-A574-62C8112CECCB}" type="pres">
      <dgm:prSet presAssocID="{10B857B3-FABC-4299-A218-66F78F6F2414}" presName="composite" presStyleCnt="0"/>
      <dgm:spPr/>
    </dgm:pt>
    <dgm:pt modelId="{F27DF088-2C57-457C-B84E-8D00874D0516}" type="pres">
      <dgm:prSet presAssocID="{10B857B3-FABC-4299-A218-66F78F6F2414}" presName="parTx" presStyleLbl="node1" presStyleIdx="0" presStyleCnt="4">
        <dgm:presLayoutVars>
          <dgm:chMax val="0"/>
          <dgm:chPref val="0"/>
          <dgm:bulletEnabled val="1"/>
        </dgm:presLayoutVars>
      </dgm:prSet>
      <dgm:spPr/>
      <dgm:t>
        <a:bodyPr/>
        <a:lstStyle/>
        <a:p>
          <a:endParaRPr lang="en-US"/>
        </a:p>
      </dgm:t>
    </dgm:pt>
    <dgm:pt modelId="{944451EF-2017-425E-BAEF-282F35BD74C8}" type="pres">
      <dgm:prSet presAssocID="{10B857B3-FABC-4299-A218-66F78F6F2414}" presName="parSh" presStyleLbl="node1" presStyleIdx="1" presStyleCnt="4" custScaleX="109530"/>
      <dgm:spPr/>
      <dgm:t>
        <a:bodyPr/>
        <a:lstStyle/>
        <a:p>
          <a:endParaRPr lang="en-US"/>
        </a:p>
      </dgm:t>
    </dgm:pt>
    <dgm:pt modelId="{CDA511BE-B46B-4A36-B932-EDC78DD10734}" type="pres">
      <dgm:prSet presAssocID="{10B857B3-FABC-4299-A218-66F78F6F2414}" presName="desTx" presStyleLbl="fgAcc1" presStyleIdx="1" presStyleCnt="4">
        <dgm:presLayoutVars>
          <dgm:bulletEnabled val="1"/>
        </dgm:presLayoutVars>
      </dgm:prSet>
      <dgm:spPr/>
      <dgm:t>
        <a:bodyPr/>
        <a:lstStyle/>
        <a:p>
          <a:endParaRPr lang="en-US"/>
        </a:p>
      </dgm:t>
    </dgm:pt>
    <dgm:pt modelId="{24F40578-E4B4-4922-9C45-2506AE1C14C8}" type="pres">
      <dgm:prSet presAssocID="{86EDECDA-4BFF-4557-8E8B-BD6302CAD3C8}" presName="sibTrans" presStyleLbl="sibTrans2D1" presStyleIdx="1" presStyleCnt="3"/>
      <dgm:spPr/>
      <dgm:t>
        <a:bodyPr/>
        <a:lstStyle/>
        <a:p>
          <a:endParaRPr lang="en-US"/>
        </a:p>
      </dgm:t>
    </dgm:pt>
    <dgm:pt modelId="{A3B552EE-1F57-41E3-B690-8732FA3B5EC7}" type="pres">
      <dgm:prSet presAssocID="{86EDECDA-4BFF-4557-8E8B-BD6302CAD3C8}" presName="connTx" presStyleLbl="sibTrans2D1" presStyleIdx="1" presStyleCnt="3"/>
      <dgm:spPr/>
      <dgm:t>
        <a:bodyPr/>
        <a:lstStyle/>
        <a:p>
          <a:endParaRPr lang="en-US"/>
        </a:p>
      </dgm:t>
    </dgm:pt>
    <dgm:pt modelId="{159B7095-D7B3-4EC6-AE11-C97CC4C0C1B3}" type="pres">
      <dgm:prSet presAssocID="{26BFD7AA-6509-46B8-82E7-03D20E64BD60}" presName="composite" presStyleCnt="0"/>
      <dgm:spPr/>
    </dgm:pt>
    <dgm:pt modelId="{284706E6-147D-4E72-8105-DB6511DDE434}" type="pres">
      <dgm:prSet presAssocID="{26BFD7AA-6509-46B8-82E7-03D20E64BD60}" presName="parTx" presStyleLbl="node1" presStyleIdx="1" presStyleCnt="4">
        <dgm:presLayoutVars>
          <dgm:chMax val="0"/>
          <dgm:chPref val="0"/>
          <dgm:bulletEnabled val="1"/>
        </dgm:presLayoutVars>
      </dgm:prSet>
      <dgm:spPr/>
      <dgm:t>
        <a:bodyPr/>
        <a:lstStyle/>
        <a:p>
          <a:endParaRPr lang="en-US"/>
        </a:p>
      </dgm:t>
    </dgm:pt>
    <dgm:pt modelId="{B3F1A52F-6597-443A-99B2-19A7DC9FE07A}" type="pres">
      <dgm:prSet presAssocID="{26BFD7AA-6509-46B8-82E7-03D20E64BD60}" presName="parSh" presStyleLbl="node1" presStyleIdx="2" presStyleCnt="4"/>
      <dgm:spPr/>
      <dgm:t>
        <a:bodyPr/>
        <a:lstStyle/>
        <a:p>
          <a:endParaRPr lang="en-US"/>
        </a:p>
      </dgm:t>
    </dgm:pt>
    <dgm:pt modelId="{18784266-14CD-498F-B2A5-9A3B1F625FCF}" type="pres">
      <dgm:prSet presAssocID="{26BFD7AA-6509-46B8-82E7-03D20E64BD60}" presName="desTx" presStyleLbl="fgAcc1" presStyleIdx="2" presStyleCnt="4" custLinFactNeighborX="-5626" custLinFactNeighborY="1024">
        <dgm:presLayoutVars>
          <dgm:bulletEnabled val="1"/>
        </dgm:presLayoutVars>
      </dgm:prSet>
      <dgm:spPr/>
      <dgm:t>
        <a:bodyPr/>
        <a:lstStyle/>
        <a:p>
          <a:endParaRPr lang="en-US"/>
        </a:p>
      </dgm:t>
    </dgm:pt>
    <dgm:pt modelId="{FA854BD1-D4F8-41F3-B999-E8AE9887276E}" type="pres">
      <dgm:prSet presAssocID="{9634A056-4D26-49A9-A9E0-D71BE7F517BA}" presName="sibTrans" presStyleLbl="sibTrans2D1" presStyleIdx="2" presStyleCnt="3"/>
      <dgm:spPr/>
      <dgm:t>
        <a:bodyPr/>
        <a:lstStyle/>
        <a:p>
          <a:endParaRPr lang="en-US"/>
        </a:p>
      </dgm:t>
    </dgm:pt>
    <dgm:pt modelId="{9F6C935D-1A21-4091-A150-F453342264F5}" type="pres">
      <dgm:prSet presAssocID="{9634A056-4D26-49A9-A9E0-D71BE7F517BA}" presName="connTx" presStyleLbl="sibTrans2D1" presStyleIdx="2" presStyleCnt="3"/>
      <dgm:spPr/>
      <dgm:t>
        <a:bodyPr/>
        <a:lstStyle/>
        <a:p>
          <a:endParaRPr lang="en-US"/>
        </a:p>
      </dgm:t>
    </dgm:pt>
    <dgm:pt modelId="{2326C768-0AE8-4265-8E7A-C8220FF0217D}" type="pres">
      <dgm:prSet presAssocID="{9C7C729E-F52A-4A2F-92BB-7A5A21F76E6B}" presName="composite" presStyleCnt="0"/>
      <dgm:spPr/>
    </dgm:pt>
    <dgm:pt modelId="{95FC2644-1A2C-4556-B7AB-B850DA98C628}" type="pres">
      <dgm:prSet presAssocID="{9C7C729E-F52A-4A2F-92BB-7A5A21F76E6B}" presName="parTx" presStyleLbl="node1" presStyleIdx="2" presStyleCnt="4">
        <dgm:presLayoutVars>
          <dgm:chMax val="0"/>
          <dgm:chPref val="0"/>
          <dgm:bulletEnabled val="1"/>
        </dgm:presLayoutVars>
      </dgm:prSet>
      <dgm:spPr/>
      <dgm:t>
        <a:bodyPr/>
        <a:lstStyle/>
        <a:p>
          <a:endParaRPr lang="en-US"/>
        </a:p>
      </dgm:t>
    </dgm:pt>
    <dgm:pt modelId="{D434DB6F-6795-4E7D-BCFB-5303D3C7E5DF}" type="pres">
      <dgm:prSet presAssocID="{9C7C729E-F52A-4A2F-92BB-7A5A21F76E6B}" presName="parSh" presStyleLbl="node1" presStyleIdx="3" presStyleCnt="4" custScaleX="106381" custScaleY="106652"/>
      <dgm:spPr/>
      <dgm:t>
        <a:bodyPr/>
        <a:lstStyle/>
        <a:p>
          <a:endParaRPr lang="en-US"/>
        </a:p>
      </dgm:t>
    </dgm:pt>
    <dgm:pt modelId="{4C47BCD1-F896-4C60-A393-8F420FB72931}" type="pres">
      <dgm:prSet presAssocID="{9C7C729E-F52A-4A2F-92BB-7A5A21F76E6B}" presName="desTx" presStyleLbl="fgAcc1" presStyleIdx="3" presStyleCnt="4" custLinFactNeighborX="-20852" custLinFactNeighborY="10870">
        <dgm:presLayoutVars>
          <dgm:bulletEnabled val="1"/>
        </dgm:presLayoutVars>
      </dgm:prSet>
      <dgm:spPr/>
      <dgm:t>
        <a:bodyPr/>
        <a:lstStyle/>
        <a:p>
          <a:endParaRPr lang="en-US"/>
        </a:p>
      </dgm:t>
    </dgm:pt>
  </dgm:ptLst>
  <dgm:cxnLst>
    <dgm:cxn modelId="{27FA880C-9908-42D5-96A4-CD0C41C630E0}" type="presOf" srcId="{BEB99776-0525-447C-A87C-2202A35CCA7E}" destId="{18784266-14CD-498F-B2A5-9A3B1F625FCF}" srcOrd="0" destOrd="0" presId="urn:microsoft.com/office/officeart/2005/8/layout/process3"/>
    <dgm:cxn modelId="{5D2EAAB7-041F-4F33-8F34-F8A206C32EBC}" type="presOf" srcId="{9C7C729E-F52A-4A2F-92BB-7A5A21F76E6B}" destId="{95FC2644-1A2C-4556-B7AB-B850DA98C628}" srcOrd="0" destOrd="0" presId="urn:microsoft.com/office/officeart/2005/8/layout/process3"/>
    <dgm:cxn modelId="{F6734C12-F541-4A7C-A73C-A2C4B112C1F3}" srcId="{26BFD7AA-6509-46B8-82E7-03D20E64BD60}" destId="{D08D1D2A-5BA8-4E6A-9013-D5B67B93A056}" srcOrd="3" destOrd="0" parTransId="{5BE32856-846E-4972-8487-6088A8D9F9DB}" sibTransId="{54CFF873-7D6B-4F10-A98F-B3FDABD73F60}"/>
    <dgm:cxn modelId="{4E8D5939-9AF1-4B8B-B18A-70DA8C53F352}" type="presOf" srcId="{CCE927C0-8653-4361-BD66-F39515E64C19}" destId="{4C47BCD1-F896-4C60-A393-8F420FB72931}" srcOrd="0" destOrd="3" presId="urn:microsoft.com/office/officeart/2005/8/layout/process3"/>
    <dgm:cxn modelId="{F93FEA81-8D4E-4F9B-BE4D-9466637C7AA5}" type="presOf" srcId="{810389C4-F569-421F-9CF1-A9A8A6B0549E}" destId="{4C47BCD1-F896-4C60-A393-8F420FB72931}" srcOrd="0" destOrd="2" presId="urn:microsoft.com/office/officeart/2005/8/layout/process3"/>
    <dgm:cxn modelId="{EFF4414B-F4AD-49F9-B41D-5D860F7ED142}" type="presOf" srcId="{D891EB75-6BE3-454C-976A-5CA557228E6F}" destId="{4C47BCD1-F896-4C60-A393-8F420FB72931}" srcOrd="0" destOrd="5" presId="urn:microsoft.com/office/officeart/2005/8/layout/process3"/>
    <dgm:cxn modelId="{A480564A-5903-41F0-A2D9-D4CFC118A7D6}" srcId="{5E3DBADA-C906-4E66-A6E0-855AB080E497}" destId="{810389C4-F569-421F-9CF1-A9A8A6B0549E}" srcOrd="1" destOrd="0" parTransId="{95AB9515-B0FE-4435-BE8D-0166D9450F0C}" sibTransId="{21471804-BDD7-44BD-B93C-936C35CB4EE0}"/>
    <dgm:cxn modelId="{80619DB7-39B4-46D6-90ED-6382785D8435}" type="presOf" srcId="{5F5D9D6F-E7B3-4540-A6DC-D42DCC95722A}" destId="{C05C7676-A2E4-49B4-8D6D-F465D69E0A73}" srcOrd="0" destOrd="3" presId="urn:microsoft.com/office/officeart/2005/8/layout/process3"/>
    <dgm:cxn modelId="{07B9B0F1-CD37-4094-B360-A82F4BBC7F0A}" srcId="{9C7C729E-F52A-4A2F-92BB-7A5A21F76E6B}" destId="{5E3DBADA-C906-4E66-A6E0-855AB080E497}" srcOrd="0" destOrd="0" parTransId="{071FDFAD-61FD-4AE0-80D6-B8C1D006B3FB}" sibTransId="{F548943B-1FE3-4F7A-9757-FFC651F5761D}"/>
    <dgm:cxn modelId="{F4DAFB8F-FA82-48AF-9231-07F58568BA1A}" srcId="{633F708F-D9FC-4EEA-983F-0A85B8B32B61}" destId="{10B857B3-FABC-4299-A218-66F78F6F2414}" srcOrd="1" destOrd="0" parTransId="{6AA640E9-0462-434E-A462-7D5F14C45B46}" sibTransId="{86EDECDA-4BFF-4557-8E8B-BD6302CAD3C8}"/>
    <dgm:cxn modelId="{5C1DF6B1-9CEB-440D-A887-79D2CEBA6E0E}" srcId="{633F708F-D9FC-4EEA-983F-0A85B8B32B61}" destId="{26BFD7AA-6509-46B8-82E7-03D20E64BD60}" srcOrd="2" destOrd="0" parTransId="{5E9539FB-C49E-479C-B744-9EC7B6EA5CE5}" sibTransId="{9634A056-4D26-49A9-A9E0-D71BE7F517BA}"/>
    <dgm:cxn modelId="{BF57955A-68BA-484E-8CD3-9F334C278B79}" type="presOf" srcId="{FF5B0F48-561C-4CBA-94FF-9E1B7828BE4A}" destId="{DE7272FF-C68E-4450-BB1C-0B2D5300B7BC}" srcOrd="0" destOrd="0" presId="urn:microsoft.com/office/officeart/2005/8/layout/process3"/>
    <dgm:cxn modelId="{05645AEB-07A6-475A-9936-6EBD1145D180}" type="presOf" srcId="{D08D1D2A-5BA8-4E6A-9013-D5B67B93A056}" destId="{18784266-14CD-498F-B2A5-9A3B1F625FCF}" srcOrd="0" destOrd="3" presId="urn:microsoft.com/office/officeart/2005/8/layout/process3"/>
    <dgm:cxn modelId="{883A1EF7-F906-4EB5-9C87-3065B7642EF9}" type="presOf" srcId="{0453BDF4-575C-402F-A21F-261757D4C134}" destId="{CDA511BE-B46B-4A36-B932-EDC78DD10734}" srcOrd="0" destOrd="0" presId="urn:microsoft.com/office/officeart/2005/8/layout/process3"/>
    <dgm:cxn modelId="{7099C960-E9B4-46A3-833D-C771332B91BA}" type="presOf" srcId="{FF5B0F48-561C-4CBA-94FF-9E1B7828BE4A}" destId="{1B2BA753-69D0-4294-97BE-F8442A6EAEB2}" srcOrd="1" destOrd="0" presId="urn:microsoft.com/office/officeart/2005/8/layout/process3"/>
    <dgm:cxn modelId="{60414FE4-321B-4AA6-9FF8-C92EDB786F4C}" type="presOf" srcId="{9C7C729E-F52A-4A2F-92BB-7A5A21F76E6B}" destId="{D434DB6F-6795-4E7D-BCFB-5303D3C7E5DF}" srcOrd="1" destOrd="0" presId="urn:microsoft.com/office/officeart/2005/8/layout/process3"/>
    <dgm:cxn modelId="{1D64FAA7-2EF7-4700-896B-5439B01E0C35}" srcId="{E511F52D-0095-4FE8-82C2-55E80BB79E11}" destId="{83D422E2-F083-4EDD-8FA0-8DF9BBD848CD}" srcOrd="0" destOrd="0" parTransId="{14C7C621-A114-4F91-8E9F-B1FF315CF781}" sibTransId="{6630029B-0A3E-4F02-B723-CDD45D12C4C5}"/>
    <dgm:cxn modelId="{C709CFBD-7E7C-4F56-A543-D95E3199D72C}" type="presOf" srcId="{9634A056-4D26-49A9-A9E0-D71BE7F517BA}" destId="{FA854BD1-D4F8-41F3-B999-E8AE9887276E}" srcOrd="0" destOrd="0" presId="urn:microsoft.com/office/officeart/2005/8/layout/process3"/>
    <dgm:cxn modelId="{0B28FC26-EEB8-4BFC-8B6E-C4F15C312BF5}" type="presOf" srcId="{26BFD7AA-6509-46B8-82E7-03D20E64BD60}" destId="{B3F1A52F-6597-443A-99B2-19A7DC9FE07A}" srcOrd="1" destOrd="0" presId="urn:microsoft.com/office/officeart/2005/8/layout/process3"/>
    <dgm:cxn modelId="{313DC651-1A0C-487A-84F9-A0C533B0ABA7}" srcId="{5E3DBADA-C906-4E66-A6E0-855AB080E497}" destId="{3DCD29AD-2127-43DF-9ABD-4EF394DAEB25}" srcOrd="0" destOrd="0" parTransId="{887451CE-D183-49B2-915D-D25843AD402C}" sibTransId="{D7C0363F-A4CE-42DF-9B89-F991767DACCE}"/>
    <dgm:cxn modelId="{C9CFAD7A-9F16-46B4-9DB6-D1CE0BDBE495}" srcId="{26BFD7AA-6509-46B8-82E7-03D20E64BD60}" destId="{1001040C-AB04-420D-AA94-D90F379B46EB}" srcOrd="4" destOrd="0" parTransId="{11BD377B-BA9E-480A-BB75-7A2E2BE4770F}" sibTransId="{B7AE16EC-5863-42AE-B79E-0A4AFE632ED5}"/>
    <dgm:cxn modelId="{95CA005C-56F3-4C52-9A8E-5A2DDF658D8D}" type="presOf" srcId="{8631D3D3-E719-473A-AECC-7D5811599AF3}" destId="{7971CC32-DA86-4BD2-BFF0-BDFAA283FEA0}" srcOrd="1" destOrd="0" presId="urn:microsoft.com/office/officeart/2005/8/layout/process3"/>
    <dgm:cxn modelId="{E60140E6-2642-4CD2-9752-A96D4198A297}" type="presOf" srcId="{BEC51D27-C20B-4EE5-81BE-D83D1EDC75FC}" destId="{18784266-14CD-498F-B2A5-9A3B1F625FCF}" srcOrd="0" destOrd="5" presId="urn:microsoft.com/office/officeart/2005/8/layout/process3"/>
    <dgm:cxn modelId="{CABAA7FA-10FA-46FF-87E6-9722D80E881D}" srcId="{8631D3D3-E719-473A-AECC-7D5811599AF3}" destId="{A4F6DCF9-5335-4AEB-A170-25AA77710B69}" srcOrd="0" destOrd="0" parTransId="{8DC2DA36-6809-4A27-BE32-1BEC16DD1F5A}" sibTransId="{FBF13342-5ED7-41D9-92EF-F528FEF24890}"/>
    <dgm:cxn modelId="{8A04DA0C-5C9C-4B9E-A7E2-B07ADB096444}" type="presOf" srcId="{889BB85A-9561-4BB9-81CA-029560A7BD5A}" destId="{4C47BCD1-F896-4C60-A393-8F420FB72931}" srcOrd="0" destOrd="4" presId="urn:microsoft.com/office/officeart/2005/8/layout/process3"/>
    <dgm:cxn modelId="{95DAE51E-EFC1-44DD-9F20-ECD7AD7A5E40}" srcId="{8631D3D3-E719-473A-AECC-7D5811599AF3}" destId="{6B8FA0EC-43B7-477A-BC9C-5F409CB6BA77}" srcOrd="2" destOrd="0" parTransId="{1799042F-B734-4ABE-AFFF-DEDA8C751519}" sibTransId="{03E7FBD6-059B-416E-B0EF-4387A2A79910}"/>
    <dgm:cxn modelId="{77F63C25-F113-4059-B192-3943D21DBA33}" srcId="{26BFD7AA-6509-46B8-82E7-03D20E64BD60}" destId="{BEC51D27-C20B-4EE5-81BE-D83D1EDC75FC}" srcOrd="5" destOrd="0" parTransId="{8BD076D3-D56C-4DC8-ADB9-3738EDEDB986}" sibTransId="{CA099E22-840D-44B6-87A7-128260A1BF40}"/>
    <dgm:cxn modelId="{E452581B-22A6-4470-963F-6E814C9836FD}" srcId="{26BFD7AA-6509-46B8-82E7-03D20E64BD60}" destId="{E8B42F4C-C3D9-45EF-A581-39EDDF2C1D96}" srcOrd="2" destOrd="0" parTransId="{441F5782-F45A-4571-88CF-E5FAAD32892B}" sibTransId="{CA16EB63-30A7-489B-962C-0A3390278C85}"/>
    <dgm:cxn modelId="{40345ECE-003D-4FAB-BAD6-3D0E1021B1F3}" type="presOf" srcId="{6B8FA0EC-43B7-477A-BC9C-5F409CB6BA77}" destId="{C05C7676-A2E4-49B4-8D6D-F465D69E0A73}" srcOrd="0" destOrd="2" presId="urn:microsoft.com/office/officeart/2005/8/layout/process3"/>
    <dgm:cxn modelId="{8DD5CB19-5900-49E5-BCB3-3CCAC5784F8F}" srcId="{0453BDF4-575C-402F-A21F-261757D4C134}" destId="{DC53D214-74F3-4F21-BEF9-5BC6AB1F8174}" srcOrd="2" destOrd="0" parTransId="{DA1CBFCB-B418-482A-B9B7-6D3CDAE12921}" sibTransId="{24B6A490-DDD0-4B86-92EA-468B4CEAF186}"/>
    <dgm:cxn modelId="{5144A8EA-263B-4400-B9F3-5284C94F975E}" srcId="{633F708F-D9FC-4EEA-983F-0A85B8B32B61}" destId="{9C7C729E-F52A-4A2F-92BB-7A5A21F76E6B}" srcOrd="3" destOrd="0" parTransId="{6D495163-CE18-4F5F-9130-57CB0E47E86B}" sibTransId="{C0582C87-8E0A-4F76-ABA9-05F45724C4AA}"/>
    <dgm:cxn modelId="{FAB665AA-D6C2-41A6-AFCA-77C1BC8C6B03}" srcId="{8631D3D3-E719-473A-AECC-7D5811599AF3}" destId="{5F5D9D6F-E7B3-4540-A6DC-D42DCC95722A}" srcOrd="3" destOrd="0" parTransId="{EA8FAFF4-DE6D-4122-9EDE-8BA44922ABDB}" sibTransId="{A207E8A9-4FB6-4422-881A-0B9AC0CDA68B}"/>
    <dgm:cxn modelId="{A29B830D-2AA6-477C-A1D7-656A211CDEFA}" type="presOf" srcId="{DC53D214-74F3-4F21-BEF9-5BC6AB1F8174}" destId="{CDA511BE-B46B-4A36-B932-EDC78DD10734}" srcOrd="0" destOrd="3" presId="urn:microsoft.com/office/officeart/2005/8/layout/process3"/>
    <dgm:cxn modelId="{05A4B332-2FF2-4C8B-88F0-B2B9E2D9F2E6}" type="presOf" srcId="{E8B42F4C-C3D9-45EF-A581-39EDDF2C1D96}" destId="{18784266-14CD-498F-B2A5-9A3B1F625FCF}" srcOrd="0" destOrd="2" presId="urn:microsoft.com/office/officeart/2005/8/layout/process3"/>
    <dgm:cxn modelId="{0599CE83-B1BC-4951-A8FF-6A13D7EE2D4B}" srcId="{5E3DBADA-C906-4E66-A6E0-855AB080E497}" destId="{CCE927C0-8653-4361-BD66-F39515E64C19}" srcOrd="2" destOrd="0" parTransId="{E59E62E1-9F0F-484E-A668-CD7EDCE12980}" sibTransId="{66547DE4-11B5-4AFD-B96B-78D7922902B8}"/>
    <dgm:cxn modelId="{C194D253-78AA-42F0-9A39-8CDD7AA7CF27}" srcId="{26BFD7AA-6509-46B8-82E7-03D20E64BD60}" destId="{BEB99776-0525-447C-A87C-2202A35CCA7E}" srcOrd="0" destOrd="0" parTransId="{9ED5C5DC-3934-4641-8DC4-4619F0CA7327}" sibTransId="{E609F13E-01DC-4903-9979-F29DE9004E83}"/>
    <dgm:cxn modelId="{AA0C8755-1308-4740-9B33-7AF80C42F732}" type="presOf" srcId="{4AB7686D-A43D-4D69-960D-5384E23AA71F}" destId="{C05C7676-A2E4-49B4-8D6D-F465D69E0A73}" srcOrd="0" destOrd="1" presId="urn:microsoft.com/office/officeart/2005/8/layout/process3"/>
    <dgm:cxn modelId="{BD2F5A44-6424-4741-94D8-66ABA11D9558}" type="presOf" srcId="{E511F52D-0095-4FE8-82C2-55E80BB79E11}" destId="{C05C7676-A2E4-49B4-8D6D-F465D69E0A73}" srcOrd="0" destOrd="5" presId="urn:microsoft.com/office/officeart/2005/8/layout/process3"/>
    <dgm:cxn modelId="{451663AB-2989-4224-BFDD-380B26B36ED5}" type="presOf" srcId="{86EDECDA-4BFF-4557-8E8B-BD6302CAD3C8}" destId="{A3B552EE-1F57-41E3-B690-8732FA3B5EC7}" srcOrd="1" destOrd="0" presId="urn:microsoft.com/office/officeart/2005/8/layout/process3"/>
    <dgm:cxn modelId="{ABB96834-4B28-47F7-806C-3AB5A3C0F2E6}" type="presOf" srcId="{9634A056-4D26-49A9-A9E0-D71BE7F517BA}" destId="{9F6C935D-1A21-4091-A150-F453342264F5}" srcOrd="1" destOrd="0" presId="urn:microsoft.com/office/officeart/2005/8/layout/process3"/>
    <dgm:cxn modelId="{ECE45B69-9C2A-41E6-8761-CC5B14B0F7A7}" srcId="{9C7C729E-F52A-4A2F-92BB-7A5A21F76E6B}" destId="{D891EB75-6BE3-454C-976A-5CA557228E6F}" srcOrd="1" destOrd="0" parTransId="{7450FB2B-409A-4C14-A30A-5A5A202170C5}" sibTransId="{E1A35F24-9ED4-4016-A59E-D8BDE53B6C9B}"/>
    <dgm:cxn modelId="{9AB6DDDD-28DF-4821-931A-4E65D42C01BE}" srcId="{26BFD7AA-6509-46B8-82E7-03D20E64BD60}" destId="{C2A9F2EE-0305-490F-9330-EF46D81D5D4B}" srcOrd="1" destOrd="0" parTransId="{DA87E5DB-BF36-405E-8433-3C3C150BB1C1}" sibTransId="{F707F5E7-59F9-47D4-AD12-86DE4FEB1AB9}"/>
    <dgm:cxn modelId="{7CF5E1EE-CA4A-4A6B-AA10-5C371CD7852E}" type="presOf" srcId="{10B857B3-FABC-4299-A218-66F78F6F2414}" destId="{F27DF088-2C57-457C-B84E-8D00874D0516}" srcOrd="0" destOrd="0" presId="urn:microsoft.com/office/officeart/2005/8/layout/process3"/>
    <dgm:cxn modelId="{DB496A33-DACC-46C7-8366-89573E77C493}" type="presOf" srcId="{A4F6DCF9-5335-4AEB-A170-25AA77710B69}" destId="{C05C7676-A2E4-49B4-8D6D-F465D69E0A73}" srcOrd="0" destOrd="0" presId="urn:microsoft.com/office/officeart/2005/8/layout/process3"/>
    <dgm:cxn modelId="{85FD8412-88CB-46E3-8A84-8838CA9D5389}" srcId="{8631D3D3-E719-473A-AECC-7D5811599AF3}" destId="{E511F52D-0095-4FE8-82C2-55E80BB79E11}" srcOrd="5" destOrd="0" parTransId="{C22FDE81-4BF5-421F-97D6-DCB7E9A70E0F}" sibTransId="{319CCC1D-9EEA-4372-B02F-4EEE5CAF45EE}"/>
    <dgm:cxn modelId="{C83C6E05-8C44-408E-83BF-D48D86FF1784}" srcId="{8631D3D3-E719-473A-AECC-7D5811599AF3}" destId="{083CFCB1-D4D8-4D94-9BDD-5D9DD97F93FC}" srcOrd="4" destOrd="0" parTransId="{0D975F45-D5F7-46BF-8F3B-834B122E9904}" sibTransId="{E516F75A-FD92-4F10-A57A-4E5A6E4F0E0C}"/>
    <dgm:cxn modelId="{0D253109-CD1F-4CD5-9D06-333D8D290206}" type="presOf" srcId="{8631D3D3-E719-473A-AECC-7D5811599AF3}" destId="{00659630-7FD4-4D73-BFD8-7B86465F4824}" srcOrd="0" destOrd="0" presId="urn:microsoft.com/office/officeart/2005/8/layout/process3"/>
    <dgm:cxn modelId="{B8E850C8-9EF3-4FFB-BBEE-6E35B9934647}" type="presOf" srcId="{D008B556-4A48-4FE3-A483-2683BF7C7838}" destId="{CDA511BE-B46B-4A36-B932-EDC78DD10734}" srcOrd="0" destOrd="1" presId="urn:microsoft.com/office/officeart/2005/8/layout/process3"/>
    <dgm:cxn modelId="{827F2718-9E48-45F1-A98B-22500F3FAA3B}" type="presOf" srcId="{633F708F-D9FC-4EEA-983F-0A85B8B32B61}" destId="{BA7F673B-68AC-4962-BC37-0FC392CE5859}" srcOrd="0" destOrd="0" presId="urn:microsoft.com/office/officeart/2005/8/layout/process3"/>
    <dgm:cxn modelId="{E799C06B-6E5F-476F-9A2D-AE0E92D9207A}" srcId="{0453BDF4-575C-402F-A21F-261757D4C134}" destId="{D008B556-4A48-4FE3-A483-2683BF7C7838}" srcOrd="0" destOrd="0" parTransId="{15D0477B-2F84-4C3A-BCBE-2197FAEB43D0}" sibTransId="{C66118A0-3B4C-42D5-90A7-184B704B0E9B}"/>
    <dgm:cxn modelId="{5C43F728-652D-4924-9475-8CB26B470A12}" type="presOf" srcId="{83D422E2-F083-4EDD-8FA0-8DF9BBD848CD}" destId="{C05C7676-A2E4-49B4-8D6D-F465D69E0A73}" srcOrd="0" destOrd="6" presId="urn:microsoft.com/office/officeart/2005/8/layout/process3"/>
    <dgm:cxn modelId="{8F1C7819-62AB-4607-B39C-6CB3CE395EF9}" type="presOf" srcId="{3DCD29AD-2127-43DF-9ABD-4EF394DAEB25}" destId="{4C47BCD1-F896-4C60-A393-8F420FB72931}" srcOrd="0" destOrd="1" presId="urn:microsoft.com/office/officeart/2005/8/layout/process3"/>
    <dgm:cxn modelId="{4C85CEDA-46B6-45A0-AC91-14BDFC41655C}" type="presOf" srcId="{26BFD7AA-6509-46B8-82E7-03D20E64BD60}" destId="{284706E6-147D-4E72-8105-DB6511DDE434}" srcOrd="0" destOrd="0" presId="urn:microsoft.com/office/officeart/2005/8/layout/process3"/>
    <dgm:cxn modelId="{90BBD49F-C626-47BA-8EEC-0B3C6D05677B}" srcId="{10B857B3-FABC-4299-A218-66F78F6F2414}" destId="{0453BDF4-575C-402F-A21F-261757D4C134}" srcOrd="0" destOrd="0" parTransId="{B2123531-0BC5-4BC5-ACD8-320DB19EE21B}" sibTransId="{9AE22570-324C-4823-AD75-87023B3C9D5A}"/>
    <dgm:cxn modelId="{8B7998EC-E422-4807-9AFF-AEF19B8CE3E9}" srcId="{0453BDF4-575C-402F-A21F-261757D4C134}" destId="{4995DD89-7FF2-4F00-9102-D92888B8E8E8}" srcOrd="1" destOrd="0" parTransId="{3FB7E686-40DC-499E-A4EB-1188957AE165}" sibTransId="{61555576-658D-45BC-A4BA-361DC2CE2898}"/>
    <dgm:cxn modelId="{F5206636-9389-475B-95D0-77976AC6BE34}" type="presOf" srcId="{5E3DBADA-C906-4E66-A6E0-855AB080E497}" destId="{4C47BCD1-F896-4C60-A393-8F420FB72931}" srcOrd="0" destOrd="0" presId="urn:microsoft.com/office/officeart/2005/8/layout/process3"/>
    <dgm:cxn modelId="{E90C81AC-5F51-439B-BE9C-4D588CE8EFA8}" srcId="{8631D3D3-E719-473A-AECC-7D5811599AF3}" destId="{4AB7686D-A43D-4D69-960D-5384E23AA71F}" srcOrd="1" destOrd="0" parTransId="{C5EBB745-C22C-4845-80D8-B25B9F00BE82}" sibTransId="{71FD2B4B-EE8B-420A-A4AB-9C3BEE5E6B03}"/>
    <dgm:cxn modelId="{643CD3BF-0F33-48F2-860B-538E821E0FA7}" type="presOf" srcId="{083CFCB1-D4D8-4D94-9BDD-5D9DD97F93FC}" destId="{C05C7676-A2E4-49B4-8D6D-F465D69E0A73}" srcOrd="0" destOrd="4" presId="urn:microsoft.com/office/officeart/2005/8/layout/process3"/>
    <dgm:cxn modelId="{89B83D80-CAF3-407A-9E5F-1089643A1A70}" type="presOf" srcId="{C2A9F2EE-0305-490F-9330-EF46D81D5D4B}" destId="{18784266-14CD-498F-B2A5-9A3B1F625FCF}" srcOrd="0" destOrd="1" presId="urn:microsoft.com/office/officeart/2005/8/layout/process3"/>
    <dgm:cxn modelId="{103120D4-86A4-4DD6-BA17-FA86A5F4C012}" type="presOf" srcId="{10B857B3-FABC-4299-A218-66F78F6F2414}" destId="{944451EF-2017-425E-BAEF-282F35BD74C8}" srcOrd="1" destOrd="0" presId="urn:microsoft.com/office/officeart/2005/8/layout/process3"/>
    <dgm:cxn modelId="{E73E5748-3AF3-43E3-9553-957551FF4763}" srcId="{5E3DBADA-C906-4E66-A6E0-855AB080E497}" destId="{889BB85A-9561-4BB9-81CA-029560A7BD5A}" srcOrd="3" destOrd="0" parTransId="{C9CBD7F4-6919-42C6-A406-62E0934B861F}" sibTransId="{5AF5F563-FC41-4F62-B754-28AFD7F7870B}"/>
    <dgm:cxn modelId="{3B46907A-FCF9-4410-86F6-F8E4B0D19E8F}" type="presOf" srcId="{4995DD89-7FF2-4F00-9102-D92888B8E8E8}" destId="{CDA511BE-B46B-4A36-B932-EDC78DD10734}" srcOrd="0" destOrd="2" presId="urn:microsoft.com/office/officeart/2005/8/layout/process3"/>
    <dgm:cxn modelId="{21CD236C-23A5-4CD5-A47B-7A017B28F05D}" type="presOf" srcId="{1001040C-AB04-420D-AA94-D90F379B46EB}" destId="{18784266-14CD-498F-B2A5-9A3B1F625FCF}" srcOrd="0" destOrd="4" presId="urn:microsoft.com/office/officeart/2005/8/layout/process3"/>
    <dgm:cxn modelId="{6A5A4178-5BB6-412C-BA51-8AD28DE04F91}" srcId="{633F708F-D9FC-4EEA-983F-0A85B8B32B61}" destId="{8631D3D3-E719-473A-AECC-7D5811599AF3}" srcOrd="0" destOrd="0" parTransId="{CE7D1C57-17E1-4DDF-AAF9-A916224734D9}" sibTransId="{FF5B0F48-561C-4CBA-94FF-9E1B7828BE4A}"/>
    <dgm:cxn modelId="{6A994566-A104-4B96-941A-348F8AD17BEC}" type="presOf" srcId="{86EDECDA-4BFF-4557-8E8B-BD6302CAD3C8}" destId="{24F40578-E4B4-4922-9C45-2506AE1C14C8}" srcOrd="0" destOrd="0" presId="urn:microsoft.com/office/officeart/2005/8/layout/process3"/>
    <dgm:cxn modelId="{ED95F72A-64F6-4399-9B20-67CE10923FB0}" type="presParOf" srcId="{BA7F673B-68AC-4962-BC37-0FC392CE5859}" destId="{CA50B730-73AB-4122-9AAC-3A72F3451492}" srcOrd="0" destOrd="0" presId="urn:microsoft.com/office/officeart/2005/8/layout/process3"/>
    <dgm:cxn modelId="{CB5E3B3B-EB58-4543-B220-1484BF5CE9D2}" type="presParOf" srcId="{CA50B730-73AB-4122-9AAC-3A72F3451492}" destId="{00659630-7FD4-4D73-BFD8-7B86465F4824}" srcOrd="0" destOrd="0" presId="urn:microsoft.com/office/officeart/2005/8/layout/process3"/>
    <dgm:cxn modelId="{E9643C86-EB5E-49DC-98F2-9587CE377AB0}" type="presParOf" srcId="{CA50B730-73AB-4122-9AAC-3A72F3451492}" destId="{7971CC32-DA86-4BD2-BFF0-BDFAA283FEA0}" srcOrd="1" destOrd="0" presId="urn:microsoft.com/office/officeart/2005/8/layout/process3"/>
    <dgm:cxn modelId="{DD28E957-87BC-437A-AB41-4708B093DE5D}" type="presParOf" srcId="{CA50B730-73AB-4122-9AAC-3A72F3451492}" destId="{C05C7676-A2E4-49B4-8D6D-F465D69E0A73}" srcOrd="2" destOrd="0" presId="urn:microsoft.com/office/officeart/2005/8/layout/process3"/>
    <dgm:cxn modelId="{B933CC7D-BF2D-45D0-8F26-136F9CCA8809}" type="presParOf" srcId="{BA7F673B-68AC-4962-BC37-0FC392CE5859}" destId="{DE7272FF-C68E-4450-BB1C-0B2D5300B7BC}" srcOrd="1" destOrd="0" presId="urn:microsoft.com/office/officeart/2005/8/layout/process3"/>
    <dgm:cxn modelId="{C075E14E-8185-4097-BF4C-29A62F287EE9}" type="presParOf" srcId="{DE7272FF-C68E-4450-BB1C-0B2D5300B7BC}" destId="{1B2BA753-69D0-4294-97BE-F8442A6EAEB2}" srcOrd="0" destOrd="0" presId="urn:microsoft.com/office/officeart/2005/8/layout/process3"/>
    <dgm:cxn modelId="{77810CB6-2561-4E0D-BCAB-2DFC6B017F90}" type="presParOf" srcId="{BA7F673B-68AC-4962-BC37-0FC392CE5859}" destId="{136DC542-EF46-4AEE-A574-62C8112CECCB}" srcOrd="2" destOrd="0" presId="urn:microsoft.com/office/officeart/2005/8/layout/process3"/>
    <dgm:cxn modelId="{B62C7658-F175-4758-8C77-4FF1FB864CF6}" type="presParOf" srcId="{136DC542-EF46-4AEE-A574-62C8112CECCB}" destId="{F27DF088-2C57-457C-B84E-8D00874D0516}" srcOrd="0" destOrd="0" presId="urn:microsoft.com/office/officeart/2005/8/layout/process3"/>
    <dgm:cxn modelId="{79807766-59C7-41CE-A7F4-8FE5824BE135}" type="presParOf" srcId="{136DC542-EF46-4AEE-A574-62C8112CECCB}" destId="{944451EF-2017-425E-BAEF-282F35BD74C8}" srcOrd="1" destOrd="0" presId="urn:microsoft.com/office/officeart/2005/8/layout/process3"/>
    <dgm:cxn modelId="{93511ECA-8489-4383-A30D-6BE406305FA7}" type="presParOf" srcId="{136DC542-EF46-4AEE-A574-62C8112CECCB}" destId="{CDA511BE-B46B-4A36-B932-EDC78DD10734}" srcOrd="2" destOrd="0" presId="urn:microsoft.com/office/officeart/2005/8/layout/process3"/>
    <dgm:cxn modelId="{929997D7-6994-4C6A-BDAC-E3CE48F01E16}" type="presParOf" srcId="{BA7F673B-68AC-4962-BC37-0FC392CE5859}" destId="{24F40578-E4B4-4922-9C45-2506AE1C14C8}" srcOrd="3" destOrd="0" presId="urn:microsoft.com/office/officeart/2005/8/layout/process3"/>
    <dgm:cxn modelId="{C513BB32-9857-4FCE-903D-986F7CAD0005}" type="presParOf" srcId="{24F40578-E4B4-4922-9C45-2506AE1C14C8}" destId="{A3B552EE-1F57-41E3-B690-8732FA3B5EC7}" srcOrd="0" destOrd="0" presId="urn:microsoft.com/office/officeart/2005/8/layout/process3"/>
    <dgm:cxn modelId="{A2776A16-3D97-4367-A52E-ACA664E24316}" type="presParOf" srcId="{BA7F673B-68AC-4962-BC37-0FC392CE5859}" destId="{159B7095-D7B3-4EC6-AE11-C97CC4C0C1B3}" srcOrd="4" destOrd="0" presId="urn:microsoft.com/office/officeart/2005/8/layout/process3"/>
    <dgm:cxn modelId="{168161FB-E668-45F9-89A8-5FDAEB0573B1}" type="presParOf" srcId="{159B7095-D7B3-4EC6-AE11-C97CC4C0C1B3}" destId="{284706E6-147D-4E72-8105-DB6511DDE434}" srcOrd="0" destOrd="0" presId="urn:microsoft.com/office/officeart/2005/8/layout/process3"/>
    <dgm:cxn modelId="{10EFC83E-D581-414E-9172-B7F58097B96F}" type="presParOf" srcId="{159B7095-D7B3-4EC6-AE11-C97CC4C0C1B3}" destId="{B3F1A52F-6597-443A-99B2-19A7DC9FE07A}" srcOrd="1" destOrd="0" presId="urn:microsoft.com/office/officeart/2005/8/layout/process3"/>
    <dgm:cxn modelId="{DDD7CC7C-086B-4605-914D-81DA4D7EC257}" type="presParOf" srcId="{159B7095-D7B3-4EC6-AE11-C97CC4C0C1B3}" destId="{18784266-14CD-498F-B2A5-9A3B1F625FCF}" srcOrd="2" destOrd="0" presId="urn:microsoft.com/office/officeart/2005/8/layout/process3"/>
    <dgm:cxn modelId="{F0DC2EC2-2F33-45AA-9F31-7833890DB4BA}" type="presParOf" srcId="{BA7F673B-68AC-4962-BC37-0FC392CE5859}" destId="{FA854BD1-D4F8-41F3-B999-E8AE9887276E}" srcOrd="5" destOrd="0" presId="urn:microsoft.com/office/officeart/2005/8/layout/process3"/>
    <dgm:cxn modelId="{0E559B03-6B2D-483A-BD5E-5579269D4098}" type="presParOf" srcId="{FA854BD1-D4F8-41F3-B999-E8AE9887276E}" destId="{9F6C935D-1A21-4091-A150-F453342264F5}" srcOrd="0" destOrd="0" presId="urn:microsoft.com/office/officeart/2005/8/layout/process3"/>
    <dgm:cxn modelId="{B4E8EE83-4129-44B8-9427-9D5B9BB25AC6}" type="presParOf" srcId="{BA7F673B-68AC-4962-BC37-0FC392CE5859}" destId="{2326C768-0AE8-4265-8E7A-C8220FF0217D}" srcOrd="6" destOrd="0" presId="urn:microsoft.com/office/officeart/2005/8/layout/process3"/>
    <dgm:cxn modelId="{2797A677-A85B-480A-9A92-8D70B72C4E7E}" type="presParOf" srcId="{2326C768-0AE8-4265-8E7A-C8220FF0217D}" destId="{95FC2644-1A2C-4556-B7AB-B850DA98C628}" srcOrd="0" destOrd="0" presId="urn:microsoft.com/office/officeart/2005/8/layout/process3"/>
    <dgm:cxn modelId="{827B5B9F-250B-4A18-95D8-1E71ACD7152B}" type="presParOf" srcId="{2326C768-0AE8-4265-8E7A-C8220FF0217D}" destId="{D434DB6F-6795-4E7D-BCFB-5303D3C7E5DF}" srcOrd="1" destOrd="0" presId="urn:microsoft.com/office/officeart/2005/8/layout/process3"/>
    <dgm:cxn modelId="{925EF367-793D-4264-A13E-74B710284005}" type="presParOf" srcId="{2326C768-0AE8-4265-8E7A-C8220FF0217D}" destId="{4C47BCD1-F896-4C60-A393-8F420FB72931}" srcOrd="2" destOrd="0" presId="urn:microsoft.com/office/officeart/2005/8/layout/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53BE70A-7CAB-479A-801B-4FBD435003C3}" type="doc">
      <dgm:prSet loTypeId="urn:microsoft.com/office/officeart/2008/layout/VerticalCurvedList" loCatId="list" qsTypeId="urn:microsoft.com/office/officeart/2005/8/quickstyle/simple1" qsCatId="simple" csTypeId="urn:microsoft.com/office/officeart/2005/8/colors/accent6_5" csCatId="accent6" phldr="1"/>
      <dgm:spPr/>
      <dgm:t>
        <a:bodyPr/>
        <a:lstStyle/>
        <a:p>
          <a:endParaRPr lang="en-US"/>
        </a:p>
      </dgm:t>
    </dgm:pt>
    <dgm:pt modelId="{3F68DCBC-5BB3-4DE2-953F-6F389C1D9210}">
      <dgm:prSet phldrT="[Text]"/>
      <dgm:spPr/>
      <dgm:t>
        <a:bodyPr/>
        <a:lstStyle/>
        <a:p>
          <a:r>
            <a:rPr lang="en-US">
              <a:solidFill>
                <a:sysClr val="windowText" lastClr="000000"/>
              </a:solidFill>
            </a:rPr>
            <a:t>Help Alaska educators grow professionally</a:t>
          </a:r>
        </a:p>
      </dgm:t>
    </dgm:pt>
    <dgm:pt modelId="{B32715F1-14BF-4C7E-A15C-D4AB04FCA7B1}" type="parTrans" cxnId="{7604DB5D-6DB2-48FB-B9FC-13645FC420CE}">
      <dgm:prSet/>
      <dgm:spPr/>
      <dgm:t>
        <a:bodyPr/>
        <a:lstStyle/>
        <a:p>
          <a:endParaRPr lang="en-US"/>
        </a:p>
      </dgm:t>
    </dgm:pt>
    <dgm:pt modelId="{0B05E277-DF7D-48AB-985A-8424E6A2A44A}" type="sibTrans" cxnId="{7604DB5D-6DB2-48FB-B9FC-13645FC420CE}">
      <dgm:prSet/>
      <dgm:spPr/>
      <dgm:t>
        <a:bodyPr/>
        <a:lstStyle/>
        <a:p>
          <a:endParaRPr lang="en-US"/>
        </a:p>
      </dgm:t>
    </dgm:pt>
    <dgm:pt modelId="{98A3DAFA-A7A8-4B21-B143-F1C6E551DC4A}">
      <dgm:prSet phldrT="[Text]"/>
      <dgm:spPr/>
      <dgm:t>
        <a:bodyPr/>
        <a:lstStyle/>
        <a:p>
          <a:r>
            <a:rPr lang="en-US">
              <a:solidFill>
                <a:sysClr val="windowText" lastClr="000000"/>
              </a:solidFill>
            </a:rPr>
            <a:t>Improve the effectiveness of instruction</a:t>
          </a:r>
        </a:p>
      </dgm:t>
    </dgm:pt>
    <dgm:pt modelId="{0996EA1C-37A7-43A8-B785-3C697F894B4B}" type="parTrans" cxnId="{7FF5FB3F-4FED-491E-A871-284FA7BC565A}">
      <dgm:prSet/>
      <dgm:spPr/>
      <dgm:t>
        <a:bodyPr/>
        <a:lstStyle/>
        <a:p>
          <a:endParaRPr lang="en-US"/>
        </a:p>
      </dgm:t>
    </dgm:pt>
    <dgm:pt modelId="{D8AE6155-7CD6-4DC0-BC3E-0AE5A1582B16}" type="sibTrans" cxnId="{7FF5FB3F-4FED-491E-A871-284FA7BC565A}">
      <dgm:prSet/>
      <dgm:spPr/>
      <dgm:t>
        <a:bodyPr/>
        <a:lstStyle/>
        <a:p>
          <a:endParaRPr lang="en-US"/>
        </a:p>
      </dgm:t>
    </dgm:pt>
    <dgm:pt modelId="{211D0937-E172-4166-90A7-93EB76AEADE9}">
      <dgm:prSet phldrT="[Text]"/>
      <dgm:spPr/>
      <dgm:t>
        <a:bodyPr/>
        <a:lstStyle/>
        <a:p>
          <a:r>
            <a:rPr lang="en-US">
              <a:solidFill>
                <a:sysClr val="windowText" lastClr="000000"/>
              </a:solidFill>
            </a:rPr>
            <a:t>Future employment of the educator</a:t>
          </a:r>
        </a:p>
      </dgm:t>
    </dgm:pt>
    <dgm:pt modelId="{FD23624D-535D-454D-9A97-174901AB1F8D}" type="parTrans" cxnId="{32AAC82D-143E-415C-987F-A341AF4EB6AE}">
      <dgm:prSet/>
      <dgm:spPr/>
      <dgm:t>
        <a:bodyPr/>
        <a:lstStyle/>
        <a:p>
          <a:endParaRPr lang="en-US"/>
        </a:p>
      </dgm:t>
    </dgm:pt>
    <dgm:pt modelId="{AB7F111B-43EE-4A38-A9C2-A7CDC095B7AD}" type="sibTrans" cxnId="{32AAC82D-143E-415C-987F-A341AF4EB6AE}">
      <dgm:prSet/>
      <dgm:spPr/>
      <dgm:t>
        <a:bodyPr/>
        <a:lstStyle/>
        <a:p>
          <a:endParaRPr lang="en-US"/>
        </a:p>
      </dgm:t>
    </dgm:pt>
    <dgm:pt modelId="{9D44644E-1354-408F-B20B-405DB2D285CB}" type="pres">
      <dgm:prSet presAssocID="{553BE70A-7CAB-479A-801B-4FBD435003C3}" presName="Name0" presStyleCnt="0">
        <dgm:presLayoutVars>
          <dgm:chMax val="7"/>
          <dgm:chPref val="7"/>
          <dgm:dir/>
        </dgm:presLayoutVars>
      </dgm:prSet>
      <dgm:spPr/>
      <dgm:t>
        <a:bodyPr/>
        <a:lstStyle/>
        <a:p>
          <a:endParaRPr lang="en-US"/>
        </a:p>
      </dgm:t>
    </dgm:pt>
    <dgm:pt modelId="{4360E38E-B3A4-4921-B24D-63D12DD69CE7}" type="pres">
      <dgm:prSet presAssocID="{553BE70A-7CAB-479A-801B-4FBD435003C3}" presName="Name1" presStyleCnt="0"/>
      <dgm:spPr/>
    </dgm:pt>
    <dgm:pt modelId="{250F2AA1-F432-4290-9B0A-BFA9590B9195}" type="pres">
      <dgm:prSet presAssocID="{553BE70A-7CAB-479A-801B-4FBD435003C3}" presName="cycle" presStyleCnt="0"/>
      <dgm:spPr/>
    </dgm:pt>
    <dgm:pt modelId="{9021625F-4456-418D-8849-E55D13A536BE}" type="pres">
      <dgm:prSet presAssocID="{553BE70A-7CAB-479A-801B-4FBD435003C3}" presName="srcNode" presStyleLbl="node1" presStyleIdx="0" presStyleCnt="3"/>
      <dgm:spPr/>
    </dgm:pt>
    <dgm:pt modelId="{541DBE2C-DD27-49BE-A0DE-9C141D57F6AF}" type="pres">
      <dgm:prSet presAssocID="{553BE70A-7CAB-479A-801B-4FBD435003C3}" presName="conn" presStyleLbl="parChTrans1D2" presStyleIdx="0" presStyleCnt="1"/>
      <dgm:spPr/>
      <dgm:t>
        <a:bodyPr/>
        <a:lstStyle/>
        <a:p>
          <a:endParaRPr lang="en-US"/>
        </a:p>
      </dgm:t>
    </dgm:pt>
    <dgm:pt modelId="{F8D79353-60D1-4946-B277-07BBC0F7989D}" type="pres">
      <dgm:prSet presAssocID="{553BE70A-7CAB-479A-801B-4FBD435003C3}" presName="extraNode" presStyleLbl="node1" presStyleIdx="0" presStyleCnt="3"/>
      <dgm:spPr/>
    </dgm:pt>
    <dgm:pt modelId="{2B28DCE7-3518-4F47-A21A-AD231395EC08}" type="pres">
      <dgm:prSet presAssocID="{553BE70A-7CAB-479A-801B-4FBD435003C3}" presName="dstNode" presStyleLbl="node1" presStyleIdx="0" presStyleCnt="3"/>
      <dgm:spPr/>
    </dgm:pt>
    <dgm:pt modelId="{E5533589-CE26-4210-9E75-BC33CF05B523}" type="pres">
      <dgm:prSet presAssocID="{3F68DCBC-5BB3-4DE2-953F-6F389C1D9210}" presName="text_1" presStyleLbl="node1" presStyleIdx="0" presStyleCnt="3">
        <dgm:presLayoutVars>
          <dgm:bulletEnabled val="1"/>
        </dgm:presLayoutVars>
      </dgm:prSet>
      <dgm:spPr/>
      <dgm:t>
        <a:bodyPr/>
        <a:lstStyle/>
        <a:p>
          <a:endParaRPr lang="en-US"/>
        </a:p>
      </dgm:t>
    </dgm:pt>
    <dgm:pt modelId="{C36F108C-2F8D-4621-B6B4-A91A606C5A66}" type="pres">
      <dgm:prSet presAssocID="{3F68DCBC-5BB3-4DE2-953F-6F389C1D9210}" presName="accent_1" presStyleCnt="0"/>
      <dgm:spPr/>
    </dgm:pt>
    <dgm:pt modelId="{C10D1C52-14C3-491D-95E3-9B9EB9F3D62D}" type="pres">
      <dgm:prSet presAssocID="{3F68DCBC-5BB3-4DE2-953F-6F389C1D9210}" presName="accentRepeatNode" presStyleLbl="solidFgAcc1" presStyleIdx="0" presStyleCnt="3"/>
      <dgm:spPr/>
    </dgm:pt>
    <dgm:pt modelId="{625CBC2E-DF30-44A7-BD9F-2446CB055DD6}" type="pres">
      <dgm:prSet presAssocID="{98A3DAFA-A7A8-4B21-B143-F1C6E551DC4A}" presName="text_2" presStyleLbl="node1" presStyleIdx="1" presStyleCnt="3">
        <dgm:presLayoutVars>
          <dgm:bulletEnabled val="1"/>
        </dgm:presLayoutVars>
      </dgm:prSet>
      <dgm:spPr/>
      <dgm:t>
        <a:bodyPr/>
        <a:lstStyle/>
        <a:p>
          <a:endParaRPr lang="en-US"/>
        </a:p>
      </dgm:t>
    </dgm:pt>
    <dgm:pt modelId="{6E5C1BAE-89F6-4C43-879B-4487001A537A}" type="pres">
      <dgm:prSet presAssocID="{98A3DAFA-A7A8-4B21-B143-F1C6E551DC4A}" presName="accent_2" presStyleCnt="0"/>
      <dgm:spPr/>
    </dgm:pt>
    <dgm:pt modelId="{4A99BE45-105A-4B4B-9CA5-C7AF70211D57}" type="pres">
      <dgm:prSet presAssocID="{98A3DAFA-A7A8-4B21-B143-F1C6E551DC4A}" presName="accentRepeatNode" presStyleLbl="solidFgAcc1" presStyleIdx="1" presStyleCnt="3"/>
      <dgm:spPr/>
    </dgm:pt>
    <dgm:pt modelId="{FDADF450-4A34-491C-A1C3-3E58AE107C50}" type="pres">
      <dgm:prSet presAssocID="{211D0937-E172-4166-90A7-93EB76AEADE9}" presName="text_3" presStyleLbl="node1" presStyleIdx="2" presStyleCnt="3">
        <dgm:presLayoutVars>
          <dgm:bulletEnabled val="1"/>
        </dgm:presLayoutVars>
      </dgm:prSet>
      <dgm:spPr/>
      <dgm:t>
        <a:bodyPr/>
        <a:lstStyle/>
        <a:p>
          <a:endParaRPr lang="en-US"/>
        </a:p>
      </dgm:t>
    </dgm:pt>
    <dgm:pt modelId="{4AB8F320-EC20-45F8-8D3B-EB7D4B215605}" type="pres">
      <dgm:prSet presAssocID="{211D0937-E172-4166-90A7-93EB76AEADE9}" presName="accent_3" presStyleCnt="0"/>
      <dgm:spPr/>
    </dgm:pt>
    <dgm:pt modelId="{D328BB86-9815-44B7-8DE1-04A09276C7E4}" type="pres">
      <dgm:prSet presAssocID="{211D0937-E172-4166-90A7-93EB76AEADE9}" presName="accentRepeatNode" presStyleLbl="solidFgAcc1" presStyleIdx="2" presStyleCnt="3"/>
      <dgm:spPr/>
    </dgm:pt>
  </dgm:ptLst>
  <dgm:cxnLst>
    <dgm:cxn modelId="{128E86BD-881C-4638-85F7-2429BF09EF2B}" type="presOf" srcId="{553BE70A-7CAB-479A-801B-4FBD435003C3}" destId="{9D44644E-1354-408F-B20B-405DB2D285CB}" srcOrd="0" destOrd="0" presId="urn:microsoft.com/office/officeart/2008/layout/VerticalCurvedList"/>
    <dgm:cxn modelId="{32E595D7-7D05-48DE-805E-E2B58718ED49}" type="presOf" srcId="{0B05E277-DF7D-48AB-985A-8424E6A2A44A}" destId="{541DBE2C-DD27-49BE-A0DE-9C141D57F6AF}" srcOrd="0" destOrd="0" presId="urn:microsoft.com/office/officeart/2008/layout/VerticalCurvedList"/>
    <dgm:cxn modelId="{32AAC82D-143E-415C-987F-A341AF4EB6AE}" srcId="{553BE70A-7CAB-479A-801B-4FBD435003C3}" destId="{211D0937-E172-4166-90A7-93EB76AEADE9}" srcOrd="2" destOrd="0" parTransId="{FD23624D-535D-454D-9A97-174901AB1F8D}" sibTransId="{AB7F111B-43EE-4A38-A9C2-A7CDC095B7AD}"/>
    <dgm:cxn modelId="{9B3A834E-456D-44CB-817D-895025801A16}" type="presOf" srcId="{211D0937-E172-4166-90A7-93EB76AEADE9}" destId="{FDADF450-4A34-491C-A1C3-3E58AE107C50}" srcOrd="0" destOrd="0" presId="urn:microsoft.com/office/officeart/2008/layout/VerticalCurvedList"/>
    <dgm:cxn modelId="{06DAF94E-9D17-49BA-A470-C0CAAEF9E665}" type="presOf" srcId="{98A3DAFA-A7A8-4B21-B143-F1C6E551DC4A}" destId="{625CBC2E-DF30-44A7-BD9F-2446CB055DD6}" srcOrd="0" destOrd="0" presId="urn:microsoft.com/office/officeart/2008/layout/VerticalCurvedList"/>
    <dgm:cxn modelId="{7604DB5D-6DB2-48FB-B9FC-13645FC420CE}" srcId="{553BE70A-7CAB-479A-801B-4FBD435003C3}" destId="{3F68DCBC-5BB3-4DE2-953F-6F389C1D9210}" srcOrd="0" destOrd="0" parTransId="{B32715F1-14BF-4C7E-A15C-D4AB04FCA7B1}" sibTransId="{0B05E277-DF7D-48AB-985A-8424E6A2A44A}"/>
    <dgm:cxn modelId="{7FF5FB3F-4FED-491E-A871-284FA7BC565A}" srcId="{553BE70A-7CAB-479A-801B-4FBD435003C3}" destId="{98A3DAFA-A7A8-4B21-B143-F1C6E551DC4A}" srcOrd="1" destOrd="0" parTransId="{0996EA1C-37A7-43A8-B785-3C697F894B4B}" sibTransId="{D8AE6155-7CD6-4DC0-BC3E-0AE5A1582B16}"/>
    <dgm:cxn modelId="{890C6B64-43E4-493D-94BB-E95E4D9D2E1A}" type="presOf" srcId="{3F68DCBC-5BB3-4DE2-953F-6F389C1D9210}" destId="{E5533589-CE26-4210-9E75-BC33CF05B523}" srcOrd="0" destOrd="0" presId="urn:microsoft.com/office/officeart/2008/layout/VerticalCurvedList"/>
    <dgm:cxn modelId="{2FD5FC54-E9C2-4ED8-9BA7-AB175E04973A}" type="presParOf" srcId="{9D44644E-1354-408F-B20B-405DB2D285CB}" destId="{4360E38E-B3A4-4921-B24D-63D12DD69CE7}" srcOrd="0" destOrd="0" presId="urn:microsoft.com/office/officeart/2008/layout/VerticalCurvedList"/>
    <dgm:cxn modelId="{8B071807-6745-4552-93B7-44CF2066C527}" type="presParOf" srcId="{4360E38E-B3A4-4921-B24D-63D12DD69CE7}" destId="{250F2AA1-F432-4290-9B0A-BFA9590B9195}" srcOrd="0" destOrd="0" presId="urn:microsoft.com/office/officeart/2008/layout/VerticalCurvedList"/>
    <dgm:cxn modelId="{2057455C-9A9D-47D1-A035-0B3637DAA377}" type="presParOf" srcId="{250F2AA1-F432-4290-9B0A-BFA9590B9195}" destId="{9021625F-4456-418D-8849-E55D13A536BE}" srcOrd="0" destOrd="0" presId="urn:microsoft.com/office/officeart/2008/layout/VerticalCurvedList"/>
    <dgm:cxn modelId="{5269B3E8-0B03-462C-913C-1508E9BB9B37}" type="presParOf" srcId="{250F2AA1-F432-4290-9B0A-BFA9590B9195}" destId="{541DBE2C-DD27-49BE-A0DE-9C141D57F6AF}" srcOrd="1" destOrd="0" presId="urn:microsoft.com/office/officeart/2008/layout/VerticalCurvedList"/>
    <dgm:cxn modelId="{E9562AC7-584D-409C-891E-495F271F9AAC}" type="presParOf" srcId="{250F2AA1-F432-4290-9B0A-BFA9590B9195}" destId="{F8D79353-60D1-4946-B277-07BBC0F7989D}" srcOrd="2" destOrd="0" presId="urn:microsoft.com/office/officeart/2008/layout/VerticalCurvedList"/>
    <dgm:cxn modelId="{06306044-39BD-40B1-A63D-BA950543455E}" type="presParOf" srcId="{250F2AA1-F432-4290-9B0A-BFA9590B9195}" destId="{2B28DCE7-3518-4F47-A21A-AD231395EC08}" srcOrd="3" destOrd="0" presId="urn:microsoft.com/office/officeart/2008/layout/VerticalCurvedList"/>
    <dgm:cxn modelId="{65BDB0BB-9ECF-4714-A08F-AE20D2580682}" type="presParOf" srcId="{4360E38E-B3A4-4921-B24D-63D12DD69CE7}" destId="{E5533589-CE26-4210-9E75-BC33CF05B523}" srcOrd="1" destOrd="0" presId="urn:microsoft.com/office/officeart/2008/layout/VerticalCurvedList"/>
    <dgm:cxn modelId="{CB0F6B4B-8945-4380-AE2F-4DD17125121F}" type="presParOf" srcId="{4360E38E-B3A4-4921-B24D-63D12DD69CE7}" destId="{C36F108C-2F8D-4621-B6B4-A91A606C5A66}" srcOrd="2" destOrd="0" presId="urn:microsoft.com/office/officeart/2008/layout/VerticalCurvedList"/>
    <dgm:cxn modelId="{E96721FC-1F14-47F1-A19A-C1B0CF700BDB}" type="presParOf" srcId="{C36F108C-2F8D-4621-B6B4-A91A606C5A66}" destId="{C10D1C52-14C3-491D-95E3-9B9EB9F3D62D}" srcOrd="0" destOrd="0" presId="urn:microsoft.com/office/officeart/2008/layout/VerticalCurvedList"/>
    <dgm:cxn modelId="{6ED3A1FE-9412-45B3-AFFC-F66CCD49AC85}" type="presParOf" srcId="{4360E38E-B3A4-4921-B24D-63D12DD69CE7}" destId="{625CBC2E-DF30-44A7-BD9F-2446CB055DD6}" srcOrd="3" destOrd="0" presId="urn:microsoft.com/office/officeart/2008/layout/VerticalCurvedList"/>
    <dgm:cxn modelId="{163712F8-DC5A-42D9-AB99-551282122461}" type="presParOf" srcId="{4360E38E-B3A4-4921-B24D-63D12DD69CE7}" destId="{6E5C1BAE-89F6-4C43-879B-4487001A537A}" srcOrd="4" destOrd="0" presId="urn:microsoft.com/office/officeart/2008/layout/VerticalCurvedList"/>
    <dgm:cxn modelId="{1E55F7D0-B1A7-40CA-A1FE-25E91CB82BB5}" type="presParOf" srcId="{6E5C1BAE-89F6-4C43-879B-4487001A537A}" destId="{4A99BE45-105A-4B4B-9CA5-C7AF70211D57}" srcOrd="0" destOrd="0" presId="urn:microsoft.com/office/officeart/2008/layout/VerticalCurvedList"/>
    <dgm:cxn modelId="{DC5010C7-6EF2-457D-BD67-A038E762E5CA}" type="presParOf" srcId="{4360E38E-B3A4-4921-B24D-63D12DD69CE7}" destId="{FDADF450-4A34-491C-A1C3-3E58AE107C50}" srcOrd="5" destOrd="0" presId="urn:microsoft.com/office/officeart/2008/layout/VerticalCurvedList"/>
    <dgm:cxn modelId="{7EBC8983-E734-4945-A050-BF5A6FFBFA87}" type="presParOf" srcId="{4360E38E-B3A4-4921-B24D-63D12DD69CE7}" destId="{4AB8F320-EC20-45F8-8D3B-EB7D4B215605}" srcOrd="6" destOrd="0" presId="urn:microsoft.com/office/officeart/2008/layout/VerticalCurvedList"/>
    <dgm:cxn modelId="{23D20416-62E3-4C3B-80D4-97E2B6C54A52}" type="presParOf" srcId="{4AB8F320-EC20-45F8-8D3B-EB7D4B215605}" destId="{D328BB86-9815-44B7-8DE1-04A09276C7E4}" srcOrd="0" destOrd="0" presId="urn:microsoft.com/office/officeart/2008/layout/VerticalCurvedLis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097E335-D22F-4718-8CFB-3E798DA8A830}"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US"/>
        </a:p>
      </dgm:t>
    </dgm:pt>
    <dgm:pt modelId="{2F9C5481-59A9-43D2-92C1-46B4502E519A}">
      <dgm:prSet phldrT="[Text]"/>
      <dgm:spPr/>
      <dgm:t>
        <a:bodyPr/>
        <a:lstStyle/>
        <a:p>
          <a:pPr algn="ctr"/>
          <a:r>
            <a:rPr lang="en-US"/>
            <a:t>IF</a:t>
          </a:r>
        </a:p>
      </dgm:t>
    </dgm:pt>
    <dgm:pt modelId="{A6A45ABF-8E69-4C42-A298-0939866616F2}" type="parTrans" cxnId="{20FD45B6-72B5-4168-B618-14B9641213A1}">
      <dgm:prSet/>
      <dgm:spPr/>
      <dgm:t>
        <a:bodyPr/>
        <a:lstStyle/>
        <a:p>
          <a:pPr algn="ctr"/>
          <a:endParaRPr lang="en-US"/>
        </a:p>
      </dgm:t>
    </dgm:pt>
    <dgm:pt modelId="{9B1A64C0-1605-441A-8E38-E060D8384195}" type="sibTrans" cxnId="{20FD45B6-72B5-4168-B618-14B9641213A1}">
      <dgm:prSet/>
      <dgm:spPr/>
      <dgm:t>
        <a:bodyPr/>
        <a:lstStyle/>
        <a:p>
          <a:pPr algn="ctr"/>
          <a:endParaRPr lang="en-US"/>
        </a:p>
      </dgm:t>
    </dgm:pt>
    <dgm:pt modelId="{A85F2B17-A70F-41F5-BD1B-75FE3DDF0523}">
      <dgm:prSet phldrT="[Text]"/>
      <dgm:spPr/>
      <dgm:t>
        <a:bodyPr/>
        <a:lstStyle/>
        <a:p>
          <a:pPr algn="ctr"/>
          <a:r>
            <a:rPr lang="en-US"/>
            <a:t>Alaska</a:t>
          </a:r>
        </a:p>
      </dgm:t>
    </dgm:pt>
    <dgm:pt modelId="{2F090E7A-1960-45A2-8D23-F0698C0148C4}" type="parTrans" cxnId="{8889C6ED-AFA5-46D9-B83E-D43AC65BF859}">
      <dgm:prSet/>
      <dgm:spPr/>
      <dgm:t>
        <a:bodyPr/>
        <a:lstStyle/>
        <a:p>
          <a:pPr algn="ctr"/>
          <a:endParaRPr lang="en-US"/>
        </a:p>
      </dgm:t>
    </dgm:pt>
    <dgm:pt modelId="{AD4D0D74-67D2-4721-A422-777908BAB7FD}" type="sibTrans" cxnId="{8889C6ED-AFA5-46D9-B83E-D43AC65BF859}">
      <dgm:prSet/>
      <dgm:spPr/>
      <dgm:t>
        <a:bodyPr/>
        <a:lstStyle/>
        <a:p>
          <a:pPr algn="ctr"/>
          <a:endParaRPr lang="en-US"/>
        </a:p>
      </dgm:t>
    </dgm:pt>
    <dgm:pt modelId="{B097533B-38C4-43E6-A407-6180FF323193}">
      <dgm:prSet phldrT="[Text]"/>
      <dgm:spPr/>
      <dgm:t>
        <a:bodyPr/>
        <a:lstStyle/>
        <a:p>
          <a:pPr algn="ctr"/>
          <a:r>
            <a:rPr lang="en-US"/>
            <a:t>Comprehensive approach to continuous improvement</a:t>
          </a:r>
        </a:p>
      </dgm:t>
    </dgm:pt>
    <dgm:pt modelId="{834E94DA-B14D-4DDE-B07E-DC3F2FC2A958}" type="parTrans" cxnId="{430F3421-2026-4E6A-9452-80081F65D1FC}">
      <dgm:prSet/>
      <dgm:spPr/>
      <dgm:t>
        <a:bodyPr/>
        <a:lstStyle/>
        <a:p>
          <a:pPr algn="ctr"/>
          <a:endParaRPr lang="en-US"/>
        </a:p>
      </dgm:t>
    </dgm:pt>
    <dgm:pt modelId="{47A380F2-0546-45AD-A90A-570788C5C97F}" type="sibTrans" cxnId="{430F3421-2026-4E6A-9452-80081F65D1FC}">
      <dgm:prSet/>
      <dgm:spPr/>
      <dgm:t>
        <a:bodyPr/>
        <a:lstStyle/>
        <a:p>
          <a:pPr algn="ctr"/>
          <a:endParaRPr lang="en-US"/>
        </a:p>
      </dgm:t>
    </dgm:pt>
    <dgm:pt modelId="{65DDAD5C-FB31-42A3-9DE4-7B2DFA6A8230}">
      <dgm:prSet phldrT="[Text]"/>
      <dgm:spPr/>
      <dgm:t>
        <a:bodyPr/>
        <a:lstStyle/>
        <a:p>
          <a:pPr algn="ctr"/>
          <a:r>
            <a:rPr lang="en-US"/>
            <a:t>THEN</a:t>
          </a:r>
        </a:p>
      </dgm:t>
    </dgm:pt>
    <dgm:pt modelId="{0E30E06A-C35A-4F46-9903-0DBC1C8CAD33}" type="parTrans" cxnId="{4281C6E1-EFE9-47F6-B6BE-3002C8EF6C0C}">
      <dgm:prSet/>
      <dgm:spPr/>
      <dgm:t>
        <a:bodyPr/>
        <a:lstStyle/>
        <a:p>
          <a:pPr algn="ctr"/>
          <a:endParaRPr lang="en-US"/>
        </a:p>
      </dgm:t>
    </dgm:pt>
    <dgm:pt modelId="{E0B60D72-D432-47F6-8859-3D96438F348F}" type="sibTrans" cxnId="{4281C6E1-EFE9-47F6-B6BE-3002C8EF6C0C}">
      <dgm:prSet/>
      <dgm:spPr/>
      <dgm:t>
        <a:bodyPr/>
        <a:lstStyle/>
        <a:p>
          <a:pPr algn="ctr"/>
          <a:endParaRPr lang="en-US"/>
        </a:p>
      </dgm:t>
    </dgm:pt>
    <dgm:pt modelId="{DCA88983-36CD-4D8C-B326-4B6EBA445503}">
      <dgm:prSet phldrT="[Text]"/>
      <dgm:spPr/>
      <dgm:t>
        <a:bodyPr/>
        <a:lstStyle/>
        <a:p>
          <a:pPr algn="ctr"/>
          <a:r>
            <a:rPr lang="en-US"/>
            <a:t>Districts</a:t>
          </a:r>
        </a:p>
      </dgm:t>
    </dgm:pt>
    <dgm:pt modelId="{368A32ED-65E2-4A11-951A-F634AEE07A8A}" type="parTrans" cxnId="{9D0299DE-5BE6-4BC4-AF12-789A50928E15}">
      <dgm:prSet/>
      <dgm:spPr/>
      <dgm:t>
        <a:bodyPr/>
        <a:lstStyle/>
        <a:p>
          <a:pPr algn="ctr"/>
          <a:endParaRPr lang="en-US"/>
        </a:p>
      </dgm:t>
    </dgm:pt>
    <dgm:pt modelId="{79538617-BC11-48A4-BF91-0F998891DB7C}" type="sibTrans" cxnId="{9D0299DE-5BE6-4BC4-AF12-789A50928E15}">
      <dgm:prSet/>
      <dgm:spPr/>
      <dgm:t>
        <a:bodyPr/>
        <a:lstStyle/>
        <a:p>
          <a:pPr algn="ctr"/>
          <a:endParaRPr lang="en-US"/>
        </a:p>
      </dgm:t>
    </dgm:pt>
    <dgm:pt modelId="{9F846165-EE04-4AA5-9832-0A8A5389B958}">
      <dgm:prSet phldrT="[Text]"/>
      <dgm:spPr/>
      <dgm:t>
        <a:bodyPr/>
        <a:lstStyle/>
        <a:p>
          <a:pPr algn="ctr"/>
          <a:r>
            <a:rPr lang="en-US"/>
            <a:t>Recruit, retain, and develop excellent teachers</a:t>
          </a:r>
        </a:p>
      </dgm:t>
    </dgm:pt>
    <dgm:pt modelId="{19979318-411C-4BD5-A415-63CF27E921EA}" type="parTrans" cxnId="{98407ECE-1DDD-4A3A-8115-10F53F638212}">
      <dgm:prSet/>
      <dgm:spPr/>
      <dgm:t>
        <a:bodyPr/>
        <a:lstStyle/>
        <a:p>
          <a:pPr algn="ctr"/>
          <a:endParaRPr lang="en-US"/>
        </a:p>
      </dgm:t>
    </dgm:pt>
    <dgm:pt modelId="{D84996BE-E4D7-4D0D-9D51-E7D4A6024031}" type="sibTrans" cxnId="{98407ECE-1DDD-4A3A-8115-10F53F638212}">
      <dgm:prSet/>
      <dgm:spPr/>
      <dgm:t>
        <a:bodyPr/>
        <a:lstStyle/>
        <a:p>
          <a:pPr algn="ctr"/>
          <a:endParaRPr lang="en-US"/>
        </a:p>
      </dgm:t>
    </dgm:pt>
    <dgm:pt modelId="{EF1B7C97-926F-4F59-BA56-5AB515A2084A}">
      <dgm:prSet phldrT="[Text]"/>
      <dgm:spPr/>
      <dgm:t>
        <a:bodyPr/>
        <a:lstStyle/>
        <a:p>
          <a:pPr algn="ctr"/>
          <a:r>
            <a:rPr lang="en-US"/>
            <a:t>THEN</a:t>
          </a:r>
        </a:p>
      </dgm:t>
    </dgm:pt>
    <dgm:pt modelId="{436446B9-7B0E-4816-B534-7528A2F22D6D}" type="parTrans" cxnId="{72FDD70C-95C3-45BC-A9DB-38F87A07AFB7}">
      <dgm:prSet/>
      <dgm:spPr/>
      <dgm:t>
        <a:bodyPr/>
        <a:lstStyle/>
        <a:p>
          <a:pPr algn="ctr"/>
          <a:endParaRPr lang="en-US"/>
        </a:p>
      </dgm:t>
    </dgm:pt>
    <dgm:pt modelId="{0097F9E1-9D25-40C9-814E-6EA6DBFBEBAB}" type="sibTrans" cxnId="{72FDD70C-95C3-45BC-A9DB-38F87A07AFB7}">
      <dgm:prSet/>
      <dgm:spPr/>
      <dgm:t>
        <a:bodyPr/>
        <a:lstStyle/>
        <a:p>
          <a:pPr algn="ctr"/>
          <a:endParaRPr lang="en-US"/>
        </a:p>
      </dgm:t>
    </dgm:pt>
    <dgm:pt modelId="{21A245B1-270C-4934-BFFB-DDA697F2B65F}">
      <dgm:prSet phldrT="[Text]"/>
      <dgm:spPr/>
      <dgm:t>
        <a:bodyPr/>
        <a:lstStyle/>
        <a:p>
          <a:pPr algn="ctr"/>
          <a:r>
            <a:rPr lang="en-US"/>
            <a:t>Schools</a:t>
          </a:r>
        </a:p>
      </dgm:t>
    </dgm:pt>
    <dgm:pt modelId="{616D045E-1C37-43B3-AC70-D0DFE0798CD7}" type="parTrans" cxnId="{89549B20-4C15-48F0-AB37-4D6C1B90AC02}">
      <dgm:prSet/>
      <dgm:spPr/>
      <dgm:t>
        <a:bodyPr/>
        <a:lstStyle/>
        <a:p>
          <a:pPr algn="ctr"/>
          <a:endParaRPr lang="en-US"/>
        </a:p>
      </dgm:t>
    </dgm:pt>
    <dgm:pt modelId="{D46FC513-0ED6-44A9-8A6F-8887A5C294CD}" type="sibTrans" cxnId="{89549B20-4C15-48F0-AB37-4D6C1B90AC02}">
      <dgm:prSet/>
      <dgm:spPr/>
      <dgm:t>
        <a:bodyPr/>
        <a:lstStyle/>
        <a:p>
          <a:pPr algn="ctr"/>
          <a:endParaRPr lang="en-US"/>
        </a:p>
      </dgm:t>
    </dgm:pt>
    <dgm:pt modelId="{5BE80BB7-10C5-4867-9E82-249BF5A91E2B}">
      <dgm:prSet phldrT="[Text]"/>
      <dgm:spPr/>
      <dgm:t>
        <a:bodyPr/>
        <a:lstStyle/>
        <a:p>
          <a:pPr algn="ctr"/>
          <a:r>
            <a:rPr lang="en-US"/>
            <a:t>Equitable access to excellent teaching</a:t>
          </a:r>
        </a:p>
      </dgm:t>
    </dgm:pt>
    <dgm:pt modelId="{32BB4D1F-2AEA-43F3-95C0-76889645FFDD}" type="parTrans" cxnId="{7B2EC947-C4DF-40A2-B279-72028EBFA909}">
      <dgm:prSet/>
      <dgm:spPr/>
      <dgm:t>
        <a:bodyPr/>
        <a:lstStyle/>
        <a:p>
          <a:pPr algn="ctr"/>
          <a:endParaRPr lang="en-US"/>
        </a:p>
      </dgm:t>
    </dgm:pt>
    <dgm:pt modelId="{D25660C0-2344-42FC-A592-8346F03191F0}" type="sibTrans" cxnId="{7B2EC947-C4DF-40A2-B279-72028EBFA909}">
      <dgm:prSet/>
      <dgm:spPr/>
      <dgm:t>
        <a:bodyPr/>
        <a:lstStyle/>
        <a:p>
          <a:pPr algn="ctr"/>
          <a:endParaRPr lang="en-US"/>
        </a:p>
      </dgm:t>
    </dgm:pt>
    <dgm:pt modelId="{C6133703-DC90-4676-A950-3946769E0362}">
      <dgm:prSet phldrT="[Text]"/>
      <dgm:spPr/>
      <dgm:t>
        <a:bodyPr/>
        <a:lstStyle/>
        <a:p>
          <a:pPr algn="ctr"/>
          <a:r>
            <a:rPr lang="en-US"/>
            <a:t>THEN</a:t>
          </a:r>
        </a:p>
      </dgm:t>
    </dgm:pt>
    <dgm:pt modelId="{272B459A-AFB2-4054-BC73-E29F08630DD3}" type="parTrans" cxnId="{6FA8BD15-8260-4659-A903-D11B860EACD2}">
      <dgm:prSet/>
      <dgm:spPr/>
      <dgm:t>
        <a:bodyPr/>
        <a:lstStyle/>
        <a:p>
          <a:pPr algn="ctr"/>
          <a:endParaRPr lang="en-US"/>
        </a:p>
      </dgm:t>
    </dgm:pt>
    <dgm:pt modelId="{C3764273-BF7A-4D8B-9791-BEF4B2A08D8A}" type="sibTrans" cxnId="{6FA8BD15-8260-4659-A903-D11B860EACD2}">
      <dgm:prSet/>
      <dgm:spPr/>
      <dgm:t>
        <a:bodyPr/>
        <a:lstStyle/>
        <a:p>
          <a:pPr algn="ctr"/>
          <a:endParaRPr lang="en-US"/>
        </a:p>
      </dgm:t>
    </dgm:pt>
    <dgm:pt modelId="{95E1A748-18F8-4D67-BCB2-940275FAE806}">
      <dgm:prSet phldrT="[Text]"/>
      <dgm:spPr/>
      <dgm:t>
        <a:bodyPr/>
        <a:lstStyle/>
        <a:p>
          <a:pPr algn="ctr"/>
          <a:r>
            <a:rPr lang="en-US"/>
            <a:t>Students</a:t>
          </a:r>
        </a:p>
      </dgm:t>
    </dgm:pt>
    <dgm:pt modelId="{E79F622E-F6A9-42E5-A2B8-E3C2D3FFFB05}" type="parTrans" cxnId="{2A98BD86-A880-4C1C-ADC7-913966B20016}">
      <dgm:prSet/>
      <dgm:spPr/>
      <dgm:t>
        <a:bodyPr/>
        <a:lstStyle/>
        <a:p>
          <a:pPr algn="ctr"/>
          <a:endParaRPr lang="en-US"/>
        </a:p>
      </dgm:t>
    </dgm:pt>
    <dgm:pt modelId="{A2733982-E51D-45D3-8B08-5D3D24099BF3}" type="sibTrans" cxnId="{2A98BD86-A880-4C1C-ADC7-913966B20016}">
      <dgm:prSet/>
      <dgm:spPr/>
      <dgm:t>
        <a:bodyPr/>
        <a:lstStyle/>
        <a:p>
          <a:pPr algn="ctr"/>
          <a:endParaRPr lang="en-US"/>
        </a:p>
      </dgm:t>
    </dgm:pt>
    <dgm:pt modelId="{E1CF6608-9664-427F-8A71-0FAF50E44F28}">
      <dgm:prSet phldrT="[Text]"/>
      <dgm:spPr/>
      <dgm:t>
        <a:bodyPr/>
        <a:lstStyle/>
        <a:p>
          <a:pPr algn="ctr"/>
          <a:r>
            <a:rPr lang="en-US"/>
            <a:t>Higher levels of college- and career readiness for all students</a:t>
          </a:r>
        </a:p>
      </dgm:t>
    </dgm:pt>
    <dgm:pt modelId="{4E94AECC-6E53-4C37-96E7-FD32CBD8B921}" type="parTrans" cxnId="{F8D11970-9018-48BA-B220-F57D9D9EF2A4}">
      <dgm:prSet/>
      <dgm:spPr/>
      <dgm:t>
        <a:bodyPr/>
        <a:lstStyle/>
        <a:p>
          <a:pPr algn="ctr"/>
          <a:endParaRPr lang="en-US"/>
        </a:p>
      </dgm:t>
    </dgm:pt>
    <dgm:pt modelId="{562C1EAD-913D-49F7-BBD1-961597B13382}" type="sibTrans" cxnId="{F8D11970-9018-48BA-B220-F57D9D9EF2A4}">
      <dgm:prSet/>
      <dgm:spPr/>
      <dgm:t>
        <a:bodyPr/>
        <a:lstStyle/>
        <a:p>
          <a:pPr algn="ctr"/>
          <a:endParaRPr lang="en-US"/>
        </a:p>
      </dgm:t>
    </dgm:pt>
    <dgm:pt modelId="{C46A3899-4C10-4E30-BE96-4E960F3271AD}" type="pres">
      <dgm:prSet presAssocID="{8097E335-D22F-4718-8CFB-3E798DA8A830}" presName="diagram" presStyleCnt="0">
        <dgm:presLayoutVars>
          <dgm:chPref val="1"/>
          <dgm:dir/>
          <dgm:animOne val="branch"/>
          <dgm:animLvl val="lvl"/>
          <dgm:resizeHandles/>
        </dgm:presLayoutVars>
      </dgm:prSet>
      <dgm:spPr/>
      <dgm:t>
        <a:bodyPr/>
        <a:lstStyle/>
        <a:p>
          <a:endParaRPr lang="en-US"/>
        </a:p>
      </dgm:t>
    </dgm:pt>
    <dgm:pt modelId="{0923FA8B-93C8-4145-9C2C-443A1162712C}" type="pres">
      <dgm:prSet presAssocID="{2F9C5481-59A9-43D2-92C1-46B4502E519A}" presName="root" presStyleCnt="0"/>
      <dgm:spPr/>
    </dgm:pt>
    <dgm:pt modelId="{58735B7A-B749-49A8-9931-9EC812D49F0C}" type="pres">
      <dgm:prSet presAssocID="{2F9C5481-59A9-43D2-92C1-46B4502E519A}" presName="rootComposite" presStyleCnt="0"/>
      <dgm:spPr/>
    </dgm:pt>
    <dgm:pt modelId="{68C655C6-2CD7-4675-B8FE-CCEC5EC41FA9}" type="pres">
      <dgm:prSet presAssocID="{2F9C5481-59A9-43D2-92C1-46B4502E519A}" presName="rootText" presStyleLbl="node1" presStyleIdx="0" presStyleCnt="4" custScaleX="85936" custScaleY="45664" custLinFactNeighborX="-80" custLinFactNeighborY="-50695"/>
      <dgm:spPr/>
      <dgm:t>
        <a:bodyPr/>
        <a:lstStyle/>
        <a:p>
          <a:endParaRPr lang="en-US"/>
        </a:p>
      </dgm:t>
    </dgm:pt>
    <dgm:pt modelId="{C13CE218-79FA-48DE-9DC1-B584E1EDA728}" type="pres">
      <dgm:prSet presAssocID="{2F9C5481-59A9-43D2-92C1-46B4502E519A}" presName="rootConnector" presStyleLbl="node1" presStyleIdx="0" presStyleCnt="4"/>
      <dgm:spPr/>
      <dgm:t>
        <a:bodyPr/>
        <a:lstStyle/>
        <a:p>
          <a:endParaRPr lang="en-US"/>
        </a:p>
      </dgm:t>
    </dgm:pt>
    <dgm:pt modelId="{EF2E5481-4389-4D49-9748-FF40411EE614}" type="pres">
      <dgm:prSet presAssocID="{2F9C5481-59A9-43D2-92C1-46B4502E519A}" presName="childShape" presStyleCnt="0"/>
      <dgm:spPr/>
    </dgm:pt>
    <dgm:pt modelId="{2686EB17-C2CB-48AE-B354-D39CD0B1A1C1}" type="pres">
      <dgm:prSet presAssocID="{2F090E7A-1960-45A2-8D23-F0698C0148C4}" presName="Name13" presStyleLbl="parChTrans1D2" presStyleIdx="0" presStyleCnt="8"/>
      <dgm:spPr/>
      <dgm:t>
        <a:bodyPr/>
        <a:lstStyle/>
        <a:p>
          <a:endParaRPr lang="en-US"/>
        </a:p>
      </dgm:t>
    </dgm:pt>
    <dgm:pt modelId="{DAFA1948-BD12-450D-A6B8-E228679157A7}" type="pres">
      <dgm:prSet presAssocID="{A85F2B17-A70F-41F5-BD1B-75FE3DDF0523}" presName="childText" presStyleLbl="bgAcc1" presStyleIdx="0" presStyleCnt="8" custLinFactNeighborY="-50695">
        <dgm:presLayoutVars>
          <dgm:bulletEnabled val="1"/>
        </dgm:presLayoutVars>
      </dgm:prSet>
      <dgm:spPr/>
      <dgm:t>
        <a:bodyPr/>
        <a:lstStyle/>
        <a:p>
          <a:endParaRPr lang="en-US"/>
        </a:p>
      </dgm:t>
    </dgm:pt>
    <dgm:pt modelId="{D282ACB2-0DF4-4D64-A28D-2BD32A5F1992}" type="pres">
      <dgm:prSet presAssocID="{834E94DA-B14D-4DDE-B07E-DC3F2FC2A958}" presName="Name13" presStyleLbl="parChTrans1D2" presStyleIdx="1" presStyleCnt="8"/>
      <dgm:spPr/>
      <dgm:t>
        <a:bodyPr/>
        <a:lstStyle/>
        <a:p>
          <a:endParaRPr lang="en-US"/>
        </a:p>
      </dgm:t>
    </dgm:pt>
    <dgm:pt modelId="{7E7A91E1-72F9-4E80-80BB-2913DDE6FB27}" type="pres">
      <dgm:prSet presAssocID="{B097533B-38C4-43E6-A407-6180FF323193}" presName="childText" presStyleLbl="bgAcc1" presStyleIdx="1" presStyleCnt="8" custScaleY="129084" custLinFactNeighborY="-45062">
        <dgm:presLayoutVars>
          <dgm:bulletEnabled val="1"/>
        </dgm:presLayoutVars>
      </dgm:prSet>
      <dgm:spPr/>
      <dgm:t>
        <a:bodyPr/>
        <a:lstStyle/>
        <a:p>
          <a:endParaRPr lang="en-US"/>
        </a:p>
      </dgm:t>
    </dgm:pt>
    <dgm:pt modelId="{9BE271D8-87AB-490E-8B36-5694C3AC54A8}" type="pres">
      <dgm:prSet presAssocID="{65DDAD5C-FB31-42A3-9DE4-7B2DFA6A8230}" presName="root" presStyleCnt="0"/>
      <dgm:spPr/>
    </dgm:pt>
    <dgm:pt modelId="{CF5F19FD-9493-45C7-8762-8A6D0DC5286E}" type="pres">
      <dgm:prSet presAssocID="{65DDAD5C-FB31-42A3-9DE4-7B2DFA6A8230}" presName="rootComposite" presStyleCnt="0"/>
      <dgm:spPr/>
    </dgm:pt>
    <dgm:pt modelId="{D1C9246E-CF15-4761-B868-09C8508F0F5B}" type="pres">
      <dgm:prSet presAssocID="{65DDAD5C-FB31-42A3-9DE4-7B2DFA6A8230}" presName="rootText" presStyleLbl="node1" presStyleIdx="1" presStyleCnt="4" custScaleX="80570" custScaleY="51832" custLinFactNeighborX="-9012" custLinFactNeighborY="-4070"/>
      <dgm:spPr/>
      <dgm:t>
        <a:bodyPr/>
        <a:lstStyle/>
        <a:p>
          <a:endParaRPr lang="en-US"/>
        </a:p>
      </dgm:t>
    </dgm:pt>
    <dgm:pt modelId="{2D13CBAC-D67E-485E-AFAF-5503F2275AB7}" type="pres">
      <dgm:prSet presAssocID="{65DDAD5C-FB31-42A3-9DE4-7B2DFA6A8230}" presName="rootConnector" presStyleLbl="node1" presStyleIdx="1" presStyleCnt="4"/>
      <dgm:spPr/>
      <dgm:t>
        <a:bodyPr/>
        <a:lstStyle/>
        <a:p>
          <a:endParaRPr lang="en-US"/>
        </a:p>
      </dgm:t>
    </dgm:pt>
    <dgm:pt modelId="{0BD168FE-B090-471C-8F23-32494C7D6CFA}" type="pres">
      <dgm:prSet presAssocID="{65DDAD5C-FB31-42A3-9DE4-7B2DFA6A8230}" presName="childShape" presStyleCnt="0"/>
      <dgm:spPr/>
    </dgm:pt>
    <dgm:pt modelId="{33565416-1F76-4D72-83E1-C50378918FD2}" type="pres">
      <dgm:prSet presAssocID="{368A32ED-65E2-4A11-951A-F634AEE07A8A}" presName="Name13" presStyleLbl="parChTrans1D2" presStyleIdx="2" presStyleCnt="8"/>
      <dgm:spPr/>
      <dgm:t>
        <a:bodyPr/>
        <a:lstStyle/>
        <a:p>
          <a:endParaRPr lang="en-US"/>
        </a:p>
      </dgm:t>
    </dgm:pt>
    <dgm:pt modelId="{76136951-74A4-4F25-B76C-B519988F382E}" type="pres">
      <dgm:prSet presAssocID="{DCA88983-36CD-4D8C-B326-4B6EBA445503}" presName="childText" presStyleLbl="bgAcc1" presStyleIdx="2" presStyleCnt="8" custLinFactNeighborX="-10562" custLinFactNeighborY="1563">
        <dgm:presLayoutVars>
          <dgm:bulletEnabled val="1"/>
        </dgm:presLayoutVars>
      </dgm:prSet>
      <dgm:spPr/>
      <dgm:t>
        <a:bodyPr/>
        <a:lstStyle/>
        <a:p>
          <a:endParaRPr lang="en-US"/>
        </a:p>
      </dgm:t>
    </dgm:pt>
    <dgm:pt modelId="{6D6CE714-8D9C-43A9-BF9A-BE974D03CB45}" type="pres">
      <dgm:prSet presAssocID="{19979318-411C-4BD5-A415-63CF27E921EA}" presName="Name13" presStyleLbl="parChTrans1D2" presStyleIdx="3" presStyleCnt="8"/>
      <dgm:spPr/>
      <dgm:t>
        <a:bodyPr/>
        <a:lstStyle/>
        <a:p>
          <a:endParaRPr lang="en-US"/>
        </a:p>
      </dgm:t>
    </dgm:pt>
    <dgm:pt modelId="{125EE1E1-7A5E-4BCC-B9B0-8E73CFB38883}" type="pres">
      <dgm:prSet presAssocID="{9F846165-EE04-4AA5-9832-0A8A5389B958}" presName="childText" presStyleLbl="bgAcc1" presStyleIdx="3" presStyleCnt="8" custLinFactNeighborX="-10604" custLinFactNeighborY="15115">
        <dgm:presLayoutVars>
          <dgm:bulletEnabled val="1"/>
        </dgm:presLayoutVars>
      </dgm:prSet>
      <dgm:spPr/>
      <dgm:t>
        <a:bodyPr/>
        <a:lstStyle/>
        <a:p>
          <a:endParaRPr lang="en-US"/>
        </a:p>
      </dgm:t>
    </dgm:pt>
    <dgm:pt modelId="{9A348DF2-B649-4D23-A5B4-DDC8BDAC1717}" type="pres">
      <dgm:prSet presAssocID="{EF1B7C97-926F-4F59-BA56-5AB515A2084A}" presName="root" presStyleCnt="0"/>
      <dgm:spPr/>
    </dgm:pt>
    <dgm:pt modelId="{7869488B-3F84-4FA0-B072-ADFC12758080}" type="pres">
      <dgm:prSet presAssocID="{EF1B7C97-926F-4F59-BA56-5AB515A2084A}" presName="rootComposite" presStyleCnt="0"/>
      <dgm:spPr/>
    </dgm:pt>
    <dgm:pt modelId="{237E394F-AE3E-41AF-BCFF-8CCBD774FADE}" type="pres">
      <dgm:prSet presAssocID="{EF1B7C97-926F-4F59-BA56-5AB515A2084A}" presName="rootText" presStyleLbl="node1" presStyleIdx="2" presStyleCnt="4" custScaleX="79617" custScaleY="52222" custLinFactNeighborX="-8929" custLinFactNeighborY="42090"/>
      <dgm:spPr/>
      <dgm:t>
        <a:bodyPr/>
        <a:lstStyle/>
        <a:p>
          <a:endParaRPr lang="en-US"/>
        </a:p>
      </dgm:t>
    </dgm:pt>
    <dgm:pt modelId="{59AE0AFE-BD6B-49CA-BE76-E3AA6FBA784B}" type="pres">
      <dgm:prSet presAssocID="{EF1B7C97-926F-4F59-BA56-5AB515A2084A}" presName="rootConnector" presStyleLbl="node1" presStyleIdx="2" presStyleCnt="4"/>
      <dgm:spPr/>
      <dgm:t>
        <a:bodyPr/>
        <a:lstStyle/>
        <a:p>
          <a:endParaRPr lang="en-US"/>
        </a:p>
      </dgm:t>
    </dgm:pt>
    <dgm:pt modelId="{32C607EB-C58C-4A12-B61A-649C3D1A14F5}" type="pres">
      <dgm:prSet presAssocID="{EF1B7C97-926F-4F59-BA56-5AB515A2084A}" presName="childShape" presStyleCnt="0"/>
      <dgm:spPr/>
    </dgm:pt>
    <dgm:pt modelId="{91A2D1C7-5BE9-4249-A35E-EFBAF5A3A57B}" type="pres">
      <dgm:prSet presAssocID="{616D045E-1C37-43B3-AC70-D0DFE0798CD7}" presName="Name13" presStyleLbl="parChTrans1D2" presStyleIdx="4" presStyleCnt="8"/>
      <dgm:spPr/>
      <dgm:t>
        <a:bodyPr/>
        <a:lstStyle/>
        <a:p>
          <a:endParaRPr lang="en-US"/>
        </a:p>
      </dgm:t>
    </dgm:pt>
    <dgm:pt modelId="{6F7286F5-B550-45BA-B8F0-566343E6A42C}" type="pres">
      <dgm:prSet presAssocID="{21A245B1-270C-4934-BFFB-DDA697F2B65F}" presName="childText" presStyleLbl="bgAcc1" presStyleIdx="4" presStyleCnt="8" custLinFactNeighborX="-10458" custLinFactNeighborY="46596">
        <dgm:presLayoutVars>
          <dgm:bulletEnabled val="1"/>
        </dgm:presLayoutVars>
      </dgm:prSet>
      <dgm:spPr/>
      <dgm:t>
        <a:bodyPr/>
        <a:lstStyle/>
        <a:p>
          <a:endParaRPr lang="en-US"/>
        </a:p>
      </dgm:t>
    </dgm:pt>
    <dgm:pt modelId="{F33E3944-C848-4FB0-8E79-3BC45BC9AE3F}" type="pres">
      <dgm:prSet presAssocID="{32BB4D1F-2AEA-43F3-95C0-76889645FFDD}" presName="Name13" presStyleLbl="parChTrans1D2" presStyleIdx="5" presStyleCnt="8"/>
      <dgm:spPr/>
      <dgm:t>
        <a:bodyPr/>
        <a:lstStyle/>
        <a:p>
          <a:endParaRPr lang="en-US"/>
        </a:p>
      </dgm:t>
    </dgm:pt>
    <dgm:pt modelId="{2D29316B-78D8-4457-9B24-4976DF138DBA}" type="pres">
      <dgm:prSet presAssocID="{5BE80BB7-10C5-4867-9E82-249BF5A91E2B}" presName="childText" presStyleLbl="bgAcc1" presStyleIdx="5" presStyleCnt="8" custLinFactNeighborX="-8293" custLinFactNeighborY="53664">
        <dgm:presLayoutVars>
          <dgm:bulletEnabled val="1"/>
        </dgm:presLayoutVars>
      </dgm:prSet>
      <dgm:spPr/>
      <dgm:t>
        <a:bodyPr/>
        <a:lstStyle/>
        <a:p>
          <a:endParaRPr lang="en-US"/>
        </a:p>
      </dgm:t>
    </dgm:pt>
    <dgm:pt modelId="{6D659D5E-1F15-435D-B7B5-580B674D2B04}" type="pres">
      <dgm:prSet presAssocID="{C6133703-DC90-4676-A950-3946769E0362}" presName="root" presStyleCnt="0"/>
      <dgm:spPr/>
    </dgm:pt>
    <dgm:pt modelId="{22F1CD22-E7BA-4536-912C-410C5604475E}" type="pres">
      <dgm:prSet presAssocID="{C6133703-DC90-4676-A950-3946769E0362}" presName="rootComposite" presStyleCnt="0"/>
      <dgm:spPr/>
    </dgm:pt>
    <dgm:pt modelId="{C697B107-9532-4759-A1EE-824A1897ADA2}" type="pres">
      <dgm:prSet presAssocID="{C6133703-DC90-4676-A950-3946769E0362}" presName="rootText" presStyleLbl="node1" presStyleIdx="3" presStyleCnt="4" custScaleX="69614" custScaleY="51880" custLinFactNeighborX="-8229" custLinFactNeighborY="96557"/>
      <dgm:spPr/>
      <dgm:t>
        <a:bodyPr/>
        <a:lstStyle/>
        <a:p>
          <a:endParaRPr lang="en-US"/>
        </a:p>
      </dgm:t>
    </dgm:pt>
    <dgm:pt modelId="{21AAADC6-EA3B-4331-90EE-254B4660D0C0}" type="pres">
      <dgm:prSet presAssocID="{C6133703-DC90-4676-A950-3946769E0362}" presName="rootConnector" presStyleLbl="node1" presStyleIdx="3" presStyleCnt="4"/>
      <dgm:spPr/>
      <dgm:t>
        <a:bodyPr/>
        <a:lstStyle/>
        <a:p>
          <a:endParaRPr lang="en-US"/>
        </a:p>
      </dgm:t>
    </dgm:pt>
    <dgm:pt modelId="{FF040221-D1D3-4D0B-B181-2D3D6715A646}" type="pres">
      <dgm:prSet presAssocID="{C6133703-DC90-4676-A950-3946769E0362}" presName="childShape" presStyleCnt="0"/>
      <dgm:spPr/>
    </dgm:pt>
    <dgm:pt modelId="{AA62AC86-6EDD-47D8-86F0-56DF75824F4B}" type="pres">
      <dgm:prSet presAssocID="{E79F622E-F6A9-42E5-A2B8-E3C2D3FFFB05}" presName="Name13" presStyleLbl="parChTrans1D2" presStyleIdx="6" presStyleCnt="8"/>
      <dgm:spPr/>
      <dgm:t>
        <a:bodyPr/>
        <a:lstStyle/>
        <a:p>
          <a:endParaRPr lang="en-US"/>
        </a:p>
      </dgm:t>
    </dgm:pt>
    <dgm:pt modelId="{8690E6ED-BBBE-40B8-9A6A-F53A91358CF5}" type="pres">
      <dgm:prSet presAssocID="{95E1A748-18F8-4D67-BCB2-940275FAE806}" presName="childText" presStyleLbl="bgAcc1" presStyleIdx="6" presStyleCnt="8" custScaleX="85179" custScaleY="85179" custLinFactY="1804" custLinFactNeighborX="-2230" custLinFactNeighborY="100000">
        <dgm:presLayoutVars>
          <dgm:bulletEnabled val="1"/>
        </dgm:presLayoutVars>
      </dgm:prSet>
      <dgm:spPr/>
      <dgm:t>
        <a:bodyPr/>
        <a:lstStyle/>
        <a:p>
          <a:endParaRPr lang="en-US"/>
        </a:p>
      </dgm:t>
    </dgm:pt>
    <dgm:pt modelId="{02457298-A258-4F94-9757-B1F33E1C1A80}" type="pres">
      <dgm:prSet presAssocID="{4E94AECC-6E53-4C37-96E7-FD32CBD8B921}" presName="Name13" presStyleLbl="parChTrans1D2" presStyleIdx="7" presStyleCnt="8"/>
      <dgm:spPr/>
      <dgm:t>
        <a:bodyPr/>
        <a:lstStyle/>
        <a:p>
          <a:endParaRPr lang="en-US"/>
        </a:p>
      </dgm:t>
    </dgm:pt>
    <dgm:pt modelId="{3AD9D061-68C4-406E-835F-0B440281767F}" type="pres">
      <dgm:prSet presAssocID="{E1CF6608-9664-427F-8A71-0FAF50E44F28}" presName="childText" presStyleLbl="bgAcc1" presStyleIdx="7" presStyleCnt="8" custScaleX="88482" custScaleY="88482" custLinFactY="11017" custLinFactNeighborX="-4124" custLinFactNeighborY="100000">
        <dgm:presLayoutVars>
          <dgm:bulletEnabled val="1"/>
        </dgm:presLayoutVars>
      </dgm:prSet>
      <dgm:spPr/>
      <dgm:t>
        <a:bodyPr/>
        <a:lstStyle/>
        <a:p>
          <a:endParaRPr lang="en-US"/>
        </a:p>
      </dgm:t>
    </dgm:pt>
  </dgm:ptLst>
  <dgm:cxnLst>
    <dgm:cxn modelId="{B5CA535C-985B-4891-A8BB-9ED625172775}" type="presOf" srcId="{B097533B-38C4-43E6-A407-6180FF323193}" destId="{7E7A91E1-72F9-4E80-80BB-2913DDE6FB27}" srcOrd="0" destOrd="0" presId="urn:microsoft.com/office/officeart/2005/8/layout/hierarchy3"/>
    <dgm:cxn modelId="{EDA2BC78-E5A9-42D2-B10F-4EE7819E3377}" type="presOf" srcId="{65DDAD5C-FB31-42A3-9DE4-7B2DFA6A8230}" destId="{D1C9246E-CF15-4761-B868-09C8508F0F5B}" srcOrd="0" destOrd="0" presId="urn:microsoft.com/office/officeart/2005/8/layout/hierarchy3"/>
    <dgm:cxn modelId="{434F9918-2532-4E8F-8D44-24A4E32697BA}" type="presOf" srcId="{8097E335-D22F-4718-8CFB-3E798DA8A830}" destId="{C46A3899-4C10-4E30-BE96-4E960F3271AD}" srcOrd="0" destOrd="0" presId="urn:microsoft.com/office/officeart/2005/8/layout/hierarchy3"/>
    <dgm:cxn modelId="{AC76911A-6097-4278-9C8C-C6848494B896}" type="presOf" srcId="{2F9C5481-59A9-43D2-92C1-46B4502E519A}" destId="{C13CE218-79FA-48DE-9DC1-B584E1EDA728}" srcOrd="1" destOrd="0" presId="urn:microsoft.com/office/officeart/2005/8/layout/hierarchy3"/>
    <dgm:cxn modelId="{AD851444-012D-4CA7-914E-883F206F565A}" type="presOf" srcId="{A85F2B17-A70F-41F5-BD1B-75FE3DDF0523}" destId="{DAFA1948-BD12-450D-A6B8-E228679157A7}" srcOrd="0" destOrd="0" presId="urn:microsoft.com/office/officeart/2005/8/layout/hierarchy3"/>
    <dgm:cxn modelId="{76483567-C7FC-452F-A538-A71319DC3625}" type="presOf" srcId="{EF1B7C97-926F-4F59-BA56-5AB515A2084A}" destId="{237E394F-AE3E-41AF-BCFF-8CCBD774FADE}" srcOrd="0" destOrd="0" presId="urn:microsoft.com/office/officeart/2005/8/layout/hierarchy3"/>
    <dgm:cxn modelId="{89549B20-4C15-48F0-AB37-4D6C1B90AC02}" srcId="{EF1B7C97-926F-4F59-BA56-5AB515A2084A}" destId="{21A245B1-270C-4934-BFFB-DDA697F2B65F}" srcOrd="0" destOrd="0" parTransId="{616D045E-1C37-43B3-AC70-D0DFE0798CD7}" sibTransId="{D46FC513-0ED6-44A9-8A6F-8887A5C294CD}"/>
    <dgm:cxn modelId="{72FDD70C-95C3-45BC-A9DB-38F87A07AFB7}" srcId="{8097E335-D22F-4718-8CFB-3E798DA8A830}" destId="{EF1B7C97-926F-4F59-BA56-5AB515A2084A}" srcOrd="2" destOrd="0" parTransId="{436446B9-7B0E-4816-B534-7528A2F22D6D}" sibTransId="{0097F9E1-9D25-40C9-814E-6EA6DBFBEBAB}"/>
    <dgm:cxn modelId="{FF7E0D81-FEB2-436D-A3C3-2D1276891860}" type="presOf" srcId="{C6133703-DC90-4676-A950-3946769E0362}" destId="{21AAADC6-EA3B-4331-90EE-254B4660D0C0}" srcOrd="1" destOrd="0" presId="urn:microsoft.com/office/officeart/2005/8/layout/hierarchy3"/>
    <dgm:cxn modelId="{F8D11970-9018-48BA-B220-F57D9D9EF2A4}" srcId="{C6133703-DC90-4676-A950-3946769E0362}" destId="{E1CF6608-9664-427F-8A71-0FAF50E44F28}" srcOrd="1" destOrd="0" parTransId="{4E94AECC-6E53-4C37-96E7-FD32CBD8B921}" sibTransId="{562C1EAD-913D-49F7-BBD1-961597B13382}"/>
    <dgm:cxn modelId="{58A41A8E-9728-493D-B5D9-0E6843513E78}" type="presOf" srcId="{65DDAD5C-FB31-42A3-9DE4-7B2DFA6A8230}" destId="{2D13CBAC-D67E-485E-AFAF-5503F2275AB7}" srcOrd="1" destOrd="0" presId="urn:microsoft.com/office/officeart/2005/8/layout/hierarchy3"/>
    <dgm:cxn modelId="{8889C6ED-AFA5-46D9-B83E-D43AC65BF859}" srcId="{2F9C5481-59A9-43D2-92C1-46B4502E519A}" destId="{A85F2B17-A70F-41F5-BD1B-75FE3DDF0523}" srcOrd="0" destOrd="0" parTransId="{2F090E7A-1960-45A2-8D23-F0698C0148C4}" sibTransId="{AD4D0D74-67D2-4721-A422-777908BAB7FD}"/>
    <dgm:cxn modelId="{C728F2EE-C012-4C5A-804A-4CD9B478C2DF}" type="presOf" srcId="{95E1A748-18F8-4D67-BCB2-940275FAE806}" destId="{8690E6ED-BBBE-40B8-9A6A-F53A91358CF5}" srcOrd="0" destOrd="0" presId="urn:microsoft.com/office/officeart/2005/8/layout/hierarchy3"/>
    <dgm:cxn modelId="{7B2EC947-C4DF-40A2-B279-72028EBFA909}" srcId="{EF1B7C97-926F-4F59-BA56-5AB515A2084A}" destId="{5BE80BB7-10C5-4867-9E82-249BF5A91E2B}" srcOrd="1" destOrd="0" parTransId="{32BB4D1F-2AEA-43F3-95C0-76889645FFDD}" sibTransId="{D25660C0-2344-42FC-A592-8346F03191F0}"/>
    <dgm:cxn modelId="{5B27BBBC-6737-4B09-B0EA-C3D8CC7C5823}" type="presOf" srcId="{834E94DA-B14D-4DDE-B07E-DC3F2FC2A958}" destId="{D282ACB2-0DF4-4D64-A28D-2BD32A5F1992}" srcOrd="0" destOrd="0" presId="urn:microsoft.com/office/officeart/2005/8/layout/hierarchy3"/>
    <dgm:cxn modelId="{9AD7FBEC-C0E8-413F-93F4-A3210182BF65}" type="presOf" srcId="{368A32ED-65E2-4A11-951A-F634AEE07A8A}" destId="{33565416-1F76-4D72-83E1-C50378918FD2}" srcOrd="0" destOrd="0" presId="urn:microsoft.com/office/officeart/2005/8/layout/hierarchy3"/>
    <dgm:cxn modelId="{430F3421-2026-4E6A-9452-80081F65D1FC}" srcId="{2F9C5481-59A9-43D2-92C1-46B4502E519A}" destId="{B097533B-38C4-43E6-A407-6180FF323193}" srcOrd="1" destOrd="0" parTransId="{834E94DA-B14D-4DDE-B07E-DC3F2FC2A958}" sibTransId="{47A380F2-0546-45AD-A90A-570788C5C97F}"/>
    <dgm:cxn modelId="{F9611695-0624-4157-9FCE-68FF72D39727}" type="presOf" srcId="{19979318-411C-4BD5-A415-63CF27E921EA}" destId="{6D6CE714-8D9C-43A9-BF9A-BE974D03CB45}" srcOrd="0" destOrd="0" presId="urn:microsoft.com/office/officeart/2005/8/layout/hierarchy3"/>
    <dgm:cxn modelId="{2A98BD86-A880-4C1C-ADC7-913966B20016}" srcId="{C6133703-DC90-4676-A950-3946769E0362}" destId="{95E1A748-18F8-4D67-BCB2-940275FAE806}" srcOrd="0" destOrd="0" parTransId="{E79F622E-F6A9-42E5-A2B8-E3C2D3FFFB05}" sibTransId="{A2733982-E51D-45D3-8B08-5D3D24099BF3}"/>
    <dgm:cxn modelId="{4281C6E1-EFE9-47F6-B6BE-3002C8EF6C0C}" srcId="{8097E335-D22F-4718-8CFB-3E798DA8A830}" destId="{65DDAD5C-FB31-42A3-9DE4-7B2DFA6A8230}" srcOrd="1" destOrd="0" parTransId="{0E30E06A-C35A-4F46-9903-0DBC1C8CAD33}" sibTransId="{E0B60D72-D432-47F6-8859-3D96438F348F}"/>
    <dgm:cxn modelId="{9D0299DE-5BE6-4BC4-AF12-789A50928E15}" srcId="{65DDAD5C-FB31-42A3-9DE4-7B2DFA6A8230}" destId="{DCA88983-36CD-4D8C-B326-4B6EBA445503}" srcOrd="0" destOrd="0" parTransId="{368A32ED-65E2-4A11-951A-F634AEE07A8A}" sibTransId="{79538617-BC11-48A4-BF91-0F998891DB7C}"/>
    <dgm:cxn modelId="{E5829F61-9CA5-403B-9D8F-AF4E96C1AF78}" type="presOf" srcId="{616D045E-1C37-43B3-AC70-D0DFE0798CD7}" destId="{91A2D1C7-5BE9-4249-A35E-EFBAF5A3A57B}" srcOrd="0" destOrd="0" presId="urn:microsoft.com/office/officeart/2005/8/layout/hierarchy3"/>
    <dgm:cxn modelId="{6FA8BD15-8260-4659-A903-D11B860EACD2}" srcId="{8097E335-D22F-4718-8CFB-3E798DA8A830}" destId="{C6133703-DC90-4676-A950-3946769E0362}" srcOrd="3" destOrd="0" parTransId="{272B459A-AFB2-4054-BC73-E29F08630DD3}" sibTransId="{C3764273-BF7A-4D8B-9791-BEF4B2A08D8A}"/>
    <dgm:cxn modelId="{0FC88795-E10F-4B29-88B3-7EDD3E8148D3}" type="presOf" srcId="{32BB4D1F-2AEA-43F3-95C0-76889645FFDD}" destId="{F33E3944-C848-4FB0-8E79-3BC45BC9AE3F}" srcOrd="0" destOrd="0" presId="urn:microsoft.com/office/officeart/2005/8/layout/hierarchy3"/>
    <dgm:cxn modelId="{4E60FBA3-A1FD-4C94-B6F3-EA1E3BF34BBD}" type="presOf" srcId="{EF1B7C97-926F-4F59-BA56-5AB515A2084A}" destId="{59AE0AFE-BD6B-49CA-BE76-E3AA6FBA784B}" srcOrd="1" destOrd="0" presId="urn:microsoft.com/office/officeart/2005/8/layout/hierarchy3"/>
    <dgm:cxn modelId="{2BAE3625-59A0-4B00-BFD6-9CEEDECC73D1}" type="presOf" srcId="{DCA88983-36CD-4D8C-B326-4B6EBA445503}" destId="{76136951-74A4-4F25-B76C-B519988F382E}" srcOrd="0" destOrd="0" presId="urn:microsoft.com/office/officeart/2005/8/layout/hierarchy3"/>
    <dgm:cxn modelId="{C941CE49-1DE4-44CB-9770-767E2C602A51}" type="presOf" srcId="{2F9C5481-59A9-43D2-92C1-46B4502E519A}" destId="{68C655C6-2CD7-4675-B8FE-CCEC5EC41FA9}" srcOrd="0" destOrd="0" presId="urn:microsoft.com/office/officeart/2005/8/layout/hierarchy3"/>
    <dgm:cxn modelId="{D973B042-087A-45BE-A896-348DF3222C38}" type="presOf" srcId="{4E94AECC-6E53-4C37-96E7-FD32CBD8B921}" destId="{02457298-A258-4F94-9757-B1F33E1C1A80}" srcOrd="0" destOrd="0" presId="urn:microsoft.com/office/officeart/2005/8/layout/hierarchy3"/>
    <dgm:cxn modelId="{2871031E-EEC1-453C-B98B-E63669E6A92F}" type="presOf" srcId="{E1CF6608-9664-427F-8A71-0FAF50E44F28}" destId="{3AD9D061-68C4-406E-835F-0B440281767F}" srcOrd="0" destOrd="0" presId="urn:microsoft.com/office/officeart/2005/8/layout/hierarchy3"/>
    <dgm:cxn modelId="{9BB3296C-9A3D-4217-9C87-07264D05081F}" type="presOf" srcId="{2F090E7A-1960-45A2-8D23-F0698C0148C4}" destId="{2686EB17-C2CB-48AE-B354-D39CD0B1A1C1}" srcOrd="0" destOrd="0" presId="urn:microsoft.com/office/officeart/2005/8/layout/hierarchy3"/>
    <dgm:cxn modelId="{BBE36BAD-96A9-4DCD-A8E5-41708F3BCCD3}" type="presOf" srcId="{9F846165-EE04-4AA5-9832-0A8A5389B958}" destId="{125EE1E1-7A5E-4BCC-B9B0-8E73CFB38883}" srcOrd="0" destOrd="0" presId="urn:microsoft.com/office/officeart/2005/8/layout/hierarchy3"/>
    <dgm:cxn modelId="{4F5CB61A-D415-4321-AFE1-B0E7425A9B9B}" type="presOf" srcId="{21A245B1-270C-4934-BFFB-DDA697F2B65F}" destId="{6F7286F5-B550-45BA-B8F0-566343E6A42C}" srcOrd="0" destOrd="0" presId="urn:microsoft.com/office/officeart/2005/8/layout/hierarchy3"/>
    <dgm:cxn modelId="{20FD45B6-72B5-4168-B618-14B9641213A1}" srcId="{8097E335-D22F-4718-8CFB-3E798DA8A830}" destId="{2F9C5481-59A9-43D2-92C1-46B4502E519A}" srcOrd="0" destOrd="0" parTransId="{A6A45ABF-8E69-4C42-A298-0939866616F2}" sibTransId="{9B1A64C0-1605-441A-8E38-E060D8384195}"/>
    <dgm:cxn modelId="{E07A0D2F-12DA-4E35-851A-8643CF66F77E}" type="presOf" srcId="{5BE80BB7-10C5-4867-9E82-249BF5A91E2B}" destId="{2D29316B-78D8-4457-9B24-4976DF138DBA}" srcOrd="0" destOrd="0" presId="urn:microsoft.com/office/officeart/2005/8/layout/hierarchy3"/>
    <dgm:cxn modelId="{1B981625-11C9-412A-A6ED-2FAD483DDA3B}" type="presOf" srcId="{E79F622E-F6A9-42E5-A2B8-E3C2D3FFFB05}" destId="{AA62AC86-6EDD-47D8-86F0-56DF75824F4B}" srcOrd="0" destOrd="0" presId="urn:microsoft.com/office/officeart/2005/8/layout/hierarchy3"/>
    <dgm:cxn modelId="{FBF3D646-C595-47EA-B823-7FDC52F6A39A}" type="presOf" srcId="{C6133703-DC90-4676-A950-3946769E0362}" destId="{C697B107-9532-4759-A1EE-824A1897ADA2}" srcOrd="0" destOrd="0" presId="urn:microsoft.com/office/officeart/2005/8/layout/hierarchy3"/>
    <dgm:cxn modelId="{98407ECE-1DDD-4A3A-8115-10F53F638212}" srcId="{65DDAD5C-FB31-42A3-9DE4-7B2DFA6A8230}" destId="{9F846165-EE04-4AA5-9832-0A8A5389B958}" srcOrd="1" destOrd="0" parTransId="{19979318-411C-4BD5-A415-63CF27E921EA}" sibTransId="{D84996BE-E4D7-4D0D-9D51-E7D4A6024031}"/>
    <dgm:cxn modelId="{8F2F5B5B-16C3-41B0-9E99-0435DFDF34C4}" type="presParOf" srcId="{C46A3899-4C10-4E30-BE96-4E960F3271AD}" destId="{0923FA8B-93C8-4145-9C2C-443A1162712C}" srcOrd="0" destOrd="0" presId="urn:microsoft.com/office/officeart/2005/8/layout/hierarchy3"/>
    <dgm:cxn modelId="{923C0FEF-128A-4AED-9542-53FD2161A61D}" type="presParOf" srcId="{0923FA8B-93C8-4145-9C2C-443A1162712C}" destId="{58735B7A-B749-49A8-9931-9EC812D49F0C}" srcOrd="0" destOrd="0" presId="urn:microsoft.com/office/officeart/2005/8/layout/hierarchy3"/>
    <dgm:cxn modelId="{FD36B4CB-2E48-4641-A244-FD760F61A3C3}" type="presParOf" srcId="{58735B7A-B749-49A8-9931-9EC812D49F0C}" destId="{68C655C6-2CD7-4675-B8FE-CCEC5EC41FA9}" srcOrd="0" destOrd="0" presId="urn:microsoft.com/office/officeart/2005/8/layout/hierarchy3"/>
    <dgm:cxn modelId="{37162E38-2FDA-4C26-BEE1-DA378D8006F3}" type="presParOf" srcId="{58735B7A-B749-49A8-9931-9EC812D49F0C}" destId="{C13CE218-79FA-48DE-9DC1-B584E1EDA728}" srcOrd="1" destOrd="0" presId="urn:microsoft.com/office/officeart/2005/8/layout/hierarchy3"/>
    <dgm:cxn modelId="{74B47C74-9B2B-457F-90EB-FC1ED8C9A316}" type="presParOf" srcId="{0923FA8B-93C8-4145-9C2C-443A1162712C}" destId="{EF2E5481-4389-4D49-9748-FF40411EE614}" srcOrd="1" destOrd="0" presId="urn:microsoft.com/office/officeart/2005/8/layout/hierarchy3"/>
    <dgm:cxn modelId="{5B010117-025A-4944-ADA4-CD190C101051}" type="presParOf" srcId="{EF2E5481-4389-4D49-9748-FF40411EE614}" destId="{2686EB17-C2CB-48AE-B354-D39CD0B1A1C1}" srcOrd="0" destOrd="0" presId="urn:microsoft.com/office/officeart/2005/8/layout/hierarchy3"/>
    <dgm:cxn modelId="{EB083CD0-EFB3-42F1-B463-155759E6643F}" type="presParOf" srcId="{EF2E5481-4389-4D49-9748-FF40411EE614}" destId="{DAFA1948-BD12-450D-A6B8-E228679157A7}" srcOrd="1" destOrd="0" presId="urn:microsoft.com/office/officeart/2005/8/layout/hierarchy3"/>
    <dgm:cxn modelId="{91D0A807-D50F-4B24-A53D-0921831F4446}" type="presParOf" srcId="{EF2E5481-4389-4D49-9748-FF40411EE614}" destId="{D282ACB2-0DF4-4D64-A28D-2BD32A5F1992}" srcOrd="2" destOrd="0" presId="urn:microsoft.com/office/officeart/2005/8/layout/hierarchy3"/>
    <dgm:cxn modelId="{011E1086-C8E1-4AA3-9AD9-8C60B1F03AC2}" type="presParOf" srcId="{EF2E5481-4389-4D49-9748-FF40411EE614}" destId="{7E7A91E1-72F9-4E80-80BB-2913DDE6FB27}" srcOrd="3" destOrd="0" presId="urn:microsoft.com/office/officeart/2005/8/layout/hierarchy3"/>
    <dgm:cxn modelId="{7CD81A83-3FD2-4C0F-BD73-B7E050B283EE}" type="presParOf" srcId="{C46A3899-4C10-4E30-BE96-4E960F3271AD}" destId="{9BE271D8-87AB-490E-8B36-5694C3AC54A8}" srcOrd="1" destOrd="0" presId="urn:microsoft.com/office/officeart/2005/8/layout/hierarchy3"/>
    <dgm:cxn modelId="{A208EEBB-B09C-45C2-98C6-174050666A1A}" type="presParOf" srcId="{9BE271D8-87AB-490E-8B36-5694C3AC54A8}" destId="{CF5F19FD-9493-45C7-8762-8A6D0DC5286E}" srcOrd="0" destOrd="0" presId="urn:microsoft.com/office/officeart/2005/8/layout/hierarchy3"/>
    <dgm:cxn modelId="{2F79AC13-F918-4B4E-8410-5D1DFCA5E5ED}" type="presParOf" srcId="{CF5F19FD-9493-45C7-8762-8A6D0DC5286E}" destId="{D1C9246E-CF15-4761-B868-09C8508F0F5B}" srcOrd="0" destOrd="0" presId="urn:microsoft.com/office/officeart/2005/8/layout/hierarchy3"/>
    <dgm:cxn modelId="{B9AFA80E-07E9-46AA-908F-C7EFDF6D82C4}" type="presParOf" srcId="{CF5F19FD-9493-45C7-8762-8A6D0DC5286E}" destId="{2D13CBAC-D67E-485E-AFAF-5503F2275AB7}" srcOrd="1" destOrd="0" presId="urn:microsoft.com/office/officeart/2005/8/layout/hierarchy3"/>
    <dgm:cxn modelId="{B841D602-60AF-4EC6-8E1C-5AE2CF75F920}" type="presParOf" srcId="{9BE271D8-87AB-490E-8B36-5694C3AC54A8}" destId="{0BD168FE-B090-471C-8F23-32494C7D6CFA}" srcOrd="1" destOrd="0" presId="urn:microsoft.com/office/officeart/2005/8/layout/hierarchy3"/>
    <dgm:cxn modelId="{7552E9D4-A412-4802-8F4B-6015583322DF}" type="presParOf" srcId="{0BD168FE-B090-471C-8F23-32494C7D6CFA}" destId="{33565416-1F76-4D72-83E1-C50378918FD2}" srcOrd="0" destOrd="0" presId="urn:microsoft.com/office/officeart/2005/8/layout/hierarchy3"/>
    <dgm:cxn modelId="{597D6D05-64DE-4D94-81E4-BC095A45D0DB}" type="presParOf" srcId="{0BD168FE-B090-471C-8F23-32494C7D6CFA}" destId="{76136951-74A4-4F25-B76C-B519988F382E}" srcOrd="1" destOrd="0" presId="urn:microsoft.com/office/officeart/2005/8/layout/hierarchy3"/>
    <dgm:cxn modelId="{7D2A29B8-713A-47DB-ACE9-FC42EEB81772}" type="presParOf" srcId="{0BD168FE-B090-471C-8F23-32494C7D6CFA}" destId="{6D6CE714-8D9C-43A9-BF9A-BE974D03CB45}" srcOrd="2" destOrd="0" presId="urn:microsoft.com/office/officeart/2005/8/layout/hierarchy3"/>
    <dgm:cxn modelId="{05CF02DE-EBD9-49EA-9394-68DA82940CC2}" type="presParOf" srcId="{0BD168FE-B090-471C-8F23-32494C7D6CFA}" destId="{125EE1E1-7A5E-4BCC-B9B0-8E73CFB38883}" srcOrd="3" destOrd="0" presId="urn:microsoft.com/office/officeart/2005/8/layout/hierarchy3"/>
    <dgm:cxn modelId="{AF931C46-F1C9-4050-A21C-329E41BB616D}" type="presParOf" srcId="{C46A3899-4C10-4E30-BE96-4E960F3271AD}" destId="{9A348DF2-B649-4D23-A5B4-DDC8BDAC1717}" srcOrd="2" destOrd="0" presId="urn:microsoft.com/office/officeart/2005/8/layout/hierarchy3"/>
    <dgm:cxn modelId="{E3D11E92-876D-494D-B8BD-2E5CB9702168}" type="presParOf" srcId="{9A348DF2-B649-4D23-A5B4-DDC8BDAC1717}" destId="{7869488B-3F84-4FA0-B072-ADFC12758080}" srcOrd="0" destOrd="0" presId="urn:microsoft.com/office/officeart/2005/8/layout/hierarchy3"/>
    <dgm:cxn modelId="{2310124D-9992-40A1-B5EC-77BC91B055CD}" type="presParOf" srcId="{7869488B-3F84-4FA0-B072-ADFC12758080}" destId="{237E394F-AE3E-41AF-BCFF-8CCBD774FADE}" srcOrd="0" destOrd="0" presId="urn:microsoft.com/office/officeart/2005/8/layout/hierarchy3"/>
    <dgm:cxn modelId="{01C37598-C861-47D3-B216-77878FCF1C3F}" type="presParOf" srcId="{7869488B-3F84-4FA0-B072-ADFC12758080}" destId="{59AE0AFE-BD6B-49CA-BE76-E3AA6FBA784B}" srcOrd="1" destOrd="0" presId="urn:microsoft.com/office/officeart/2005/8/layout/hierarchy3"/>
    <dgm:cxn modelId="{FD9FAA26-B971-4951-8EA1-94012CD9E203}" type="presParOf" srcId="{9A348DF2-B649-4D23-A5B4-DDC8BDAC1717}" destId="{32C607EB-C58C-4A12-B61A-649C3D1A14F5}" srcOrd="1" destOrd="0" presId="urn:microsoft.com/office/officeart/2005/8/layout/hierarchy3"/>
    <dgm:cxn modelId="{1A451DC1-4661-4D0F-AAB5-CEEC2A9F0A59}" type="presParOf" srcId="{32C607EB-C58C-4A12-B61A-649C3D1A14F5}" destId="{91A2D1C7-5BE9-4249-A35E-EFBAF5A3A57B}" srcOrd="0" destOrd="0" presId="urn:microsoft.com/office/officeart/2005/8/layout/hierarchy3"/>
    <dgm:cxn modelId="{5FEF0C42-0517-4D86-9AB0-295AC684EB29}" type="presParOf" srcId="{32C607EB-C58C-4A12-B61A-649C3D1A14F5}" destId="{6F7286F5-B550-45BA-B8F0-566343E6A42C}" srcOrd="1" destOrd="0" presId="urn:microsoft.com/office/officeart/2005/8/layout/hierarchy3"/>
    <dgm:cxn modelId="{E8F960C4-EFAF-42E0-9507-C5AC5BEABB0C}" type="presParOf" srcId="{32C607EB-C58C-4A12-B61A-649C3D1A14F5}" destId="{F33E3944-C848-4FB0-8E79-3BC45BC9AE3F}" srcOrd="2" destOrd="0" presId="urn:microsoft.com/office/officeart/2005/8/layout/hierarchy3"/>
    <dgm:cxn modelId="{4AF2054E-6593-4C32-9245-FEDE7A2AFAC1}" type="presParOf" srcId="{32C607EB-C58C-4A12-B61A-649C3D1A14F5}" destId="{2D29316B-78D8-4457-9B24-4976DF138DBA}" srcOrd="3" destOrd="0" presId="urn:microsoft.com/office/officeart/2005/8/layout/hierarchy3"/>
    <dgm:cxn modelId="{72EA2256-2CC2-4D80-BEFB-5D14C8D11261}" type="presParOf" srcId="{C46A3899-4C10-4E30-BE96-4E960F3271AD}" destId="{6D659D5E-1F15-435D-B7B5-580B674D2B04}" srcOrd="3" destOrd="0" presId="urn:microsoft.com/office/officeart/2005/8/layout/hierarchy3"/>
    <dgm:cxn modelId="{D88BC5A8-CD11-44C9-A41D-9889C58C0EF0}" type="presParOf" srcId="{6D659D5E-1F15-435D-B7B5-580B674D2B04}" destId="{22F1CD22-E7BA-4536-912C-410C5604475E}" srcOrd="0" destOrd="0" presId="urn:microsoft.com/office/officeart/2005/8/layout/hierarchy3"/>
    <dgm:cxn modelId="{5E77E86A-AF48-4F10-ABC2-80235E51314B}" type="presParOf" srcId="{22F1CD22-E7BA-4536-912C-410C5604475E}" destId="{C697B107-9532-4759-A1EE-824A1897ADA2}" srcOrd="0" destOrd="0" presId="urn:microsoft.com/office/officeart/2005/8/layout/hierarchy3"/>
    <dgm:cxn modelId="{F968245F-D223-4360-AC36-E9B3821350C9}" type="presParOf" srcId="{22F1CD22-E7BA-4536-912C-410C5604475E}" destId="{21AAADC6-EA3B-4331-90EE-254B4660D0C0}" srcOrd="1" destOrd="0" presId="urn:microsoft.com/office/officeart/2005/8/layout/hierarchy3"/>
    <dgm:cxn modelId="{60AA0FB4-6242-4DCA-BAE8-70D51E5270ED}" type="presParOf" srcId="{6D659D5E-1F15-435D-B7B5-580B674D2B04}" destId="{FF040221-D1D3-4D0B-B181-2D3D6715A646}" srcOrd="1" destOrd="0" presId="urn:microsoft.com/office/officeart/2005/8/layout/hierarchy3"/>
    <dgm:cxn modelId="{32949A64-0018-48BD-8D56-478EAA2C6442}" type="presParOf" srcId="{FF040221-D1D3-4D0B-B181-2D3D6715A646}" destId="{AA62AC86-6EDD-47D8-86F0-56DF75824F4B}" srcOrd="0" destOrd="0" presId="urn:microsoft.com/office/officeart/2005/8/layout/hierarchy3"/>
    <dgm:cxn modelId="{B1F631DE-5A75-4165-B48F-FA58AD0259FE}" type="presParOf" srcId="{FF040221-D1D3-4D0B-B181-2D3D6715A646}" destId="{8690E6ED-BBBE-40B8-9A6A-F53A91358CF5}" srcOrd="1" destOrd="0" presId="urn:microsoft.com/office/officeart/2005/8/layout/hierarchy3"/>
    <dgm:cxn modelId="{FBCA6669-115D-42C8-9655-5C06D5DCF999}" type="presParOf" srcId="{FF040221-D1D3-4D0B-B181-2D3D6715A646}" destId="{02457298-A258-4F94-9757-B1F33E1C1A80}" srcOrd="2" destOrd="0" presId="urn:microsoft.com/office/officeart/2005/8/layout/hierarchy3"/>
    <dgm:cxn modelId="{77FE6B20-1ECC-4B72-887F-C96399898865}" type="presParOf" srcId="{FF040221-D1D3-4D0B-B181-2D3D6715A646}" destId="{3AD9D061-68C4-406E-835F-0B440281767F}" srcOrd="3" destOrd="0" presId="urn:microsoft.com/office/officeart/2005/8/layout/hierarchy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DFFA230-135D-42DD-BBF0-493962111F06}"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D66E6FC8-D780-40B3-B611-34771FC80469}">
      <dgm:prSet phldrT="[Text]" custT="1"/>
      <dgm:spPr>
        <a:solidFill>
          <a:srgbClr val="E4CDEB">
            <a:alpha val="49804"/>
          </a:srgbClr>
        </a:solidFill>
      </dgm:spPr>
      <dgm:t>
        <a:bodyPr/>
        <a:lstStyle/>
        <a:p>
          <a:pPr algn="ctr"/>
          <a:r>
            <a:rPr lang="en-US" sz="1000" b="1"/>
            <a:t>Awareness</a:t>
          </a:r>
        </a:p>
        <a:p>
          <a:pPr algn="ctr"/>
          <a:endParaRPr lang="en-US" sz="1000" b="1"/>
        </a:p>
        <a:p>
          <a:pPr algn="ctr"/>
          <a:r>
            <a:rPr lang="en-US" sz="1000"/>
            <a:t>Public Reporting of Disproportionate Access</a:t>
          </a:r>
        </a:p>
        <a:p>
          <a:pPr algn="ctr"/>
          <a:r>
            <a:rPr lang="en-US" sz="1000"/>
            <a:t>Ongoing Data Collection and Analysis</a:t>
          </a:r>
        </a:p>
      </dgm:t>
    </dgm:pt>
    <dgm:pt modelId="{5630E819-86F6-4B2B-B2CF-786FEBA0C7FD}" type="parTrans" cxnId="{0D2D0B5B-B61E-45E8-8A60-80CC1385E098}">
      <dgm:prSet/>
      <dgm:spPr/>
      <dgm:t>
        <a:bodyPr/>
        <a:lstStyle/>
        <a:p>
          <a:pPr algn="ctr"/>
          <a:endParaRPr lang="en-US"/>
        </a:p>
      </dgm:t>
    </dgm:pt>
    <dgm:pt modelId="{A04129C2-329F-4FB3-9B44-0D5C1E252EA1}" type="sibTrans" cxnId="{0D2D0B5B-B61E-45E8-8A60-80CC1385E098}">
      <dgm:prSet/>
      <dgm:spPr/>
      <dgm:t>
        <a:bodyPr/>
        <a:lstStyle/>
        <a:p>
          <a:pPr algn="ctr"/>
          <a:endParaRPr lang="en-US"/>
        </a:p>
      </dgm:t>
    </dgm:pt>
    <dgm:pt modelId="{C31D3650-EA60-4138-978F-465DE3E6711D}">
      <dgm:prSet phldrT="[Text]" custT="1"/>
      <dgm:spPr>
        <a:solidFill>
          <a:schemeClr val="accent2">
            <a:alpha val="50000"/>
          </a:schemeClr>
        </a:solidFill>
      </dgm:spPr>
      <dgm:t>
        <a:bodyPr/>
        <a:lstStyle/>
        <a:p>
          <a:pPr algn="ctr"/>
          <a:r>
            <a:rPr lang="en-US" sz="1000" b="1"/>
            <a:t>Recruitment </a:t>
          </a:r>
        </a:p>
        <a:p>
          <a:pPr algn="ctr"/>
          <a:endParaRPr lang="en-US" sz="1000" b="1"/>
        </a:p>
        <a:p>
          <a:pPr algn="ctr"/>
          <a:r>
            <a:rPr lang="en-US" sz="1000"/>
            <a:t>Identification and mitigation of certification barriers </a:t>
          </a:r>
        </a:p>
        <a:p>
          <a:pPr algn="ctr"/>
          <a:r>
            <a:rPr lang="en-US" sz="1000"/>
            <a:t>Examination of existing recruitment and hiring efforts for efficacy</a:t>
          </a:r>
        </a:p>
      </dgm:t>
    </dgm:pt>
    <dgm:pt modelId="{84D8C4D8-48D1-4BA4-8A7C-61776C3715FD}" type="parTrans" cxnId="{370833DA-361C-4633-B000-E90933796AD5}">
      <dgm:prSet/>
      <dgm:spPr/>
      <dgm:t>
        <a:bodyPr/>
        <a:lstStyle/>
        <a:p>
          <a:pPr algn="ctr"/>
          <a:endParaRPr lang="en-US"/>
        </a:p>
      </dgm:t>
    </dgm:pt>
    <dgm:pt modelId="{AD4F6D62-F1B0-4682-A7D8-2602F16DC6CF}" type="sibTrans" cxnId="{370833DA-361C-4633-B000-E90933796AD5}">
      <dgm:prSet/>
      <dgm:spPr/>
      <dgm:t>
        <a:bodyPr/>
        <a:lstStyle/>
        <a:p>
          <a:pPr algn="ctr"/>
          <a:endParaRPr lang="en-US"/>
        </a:p>
      </dgm:t>
    </dgm:pt>
    <dgm:pt modelId="{54CE1C18-B67E-4F63-AFBA-715FC6163773}">
      <dgm:prSet phldrT="[Text]" custT="1"/>
      <dgm:spPr/>
      <dgm:t>
        <a:bodyPr/>
        <a:lstStyle/>
        <a:p>
          <a:r>
            <a:rPr lang="en-US" sz="1000" b="1"/>
            <a:t>Preparation </a:t>
          </a:r>
        </a:p>
        <a:p>
          <a:endParaRPr lang="en-US" sz="1000" b="1"/>
        </a:p>
        <a:p>
          <a:r>
            <a:rPr lang="en-US" sz="1000"/>
            <a:t>Support of Alaska's </a:t>
          </a:r>
          <a:br>
            <a:rPr lang="en-US" sz="1000"/>
          </a:br>
          <a:r>
            <a:rPr lang="en-US" sz="1000"/>
            <a:t>Educators Rising, PITAS, and ANSEP</a:t>
          </a:r>
        </a:p>
        <a:p>
          <a:r>
            <a:rPr lang="en-US" sz="1000"/>
            <a:t>Collaboration with </a:t>
          </a:r>
          <a:br>
            <a:rPr lang="en-US" sz="1000"/>
          </a:br>
          <a:r>
            <a:rPr lang="en-US" sz="1000"/>
            <a:t>Alaska Universities and Colleges</a:t>
          </a:r>
        </a:p>
      </dgm:t>
    </dgm:pt>
    <dgm:pt modelId="{875D792C-F3F4-4DEC-BE3A-29A88C57EA82}" type="parTrans" cxnId="{77DFE05C-0F42-4AEA-8501-191F6486163D}">
      <dgm:prSet/>
      <dgm:spPr/>
      <dgm:t>
        <a:bodyPr/>
        <a:lstStyle/>
        <a:p>
          <a:endParaRPr lang="en-US"/>
        </a:p>
      </dgm:t>
    </dgm:pt>
    <dgm:pt modelId="{09178683-F686-4A52-8374-D268E8C54E18}" type="sibTrans" cxnId="{77DFE05C-0F42-4AEA-8501-191F6486163D}">
      <dgm:prSet/>
      <dgm:spPr/>
      <dgm:t>
        <a:bodyPr/>
        <a:lstStyle/>
        <a:p>
          <a:endParaRPr lang="en-US"/>
        </a:p>
      </dgm:t>
    </dgm:pt>
    <dgm:pt modelId="{D00DA49B-CB84-4ACA-B59A-A0F2886C2E51}">
      <dgm:prSet phldrT="[Text]" custT="1"/>
      <dgm:spPr>
        <a:solidFill>
          <a:srgbClr val="FFCCFF">
            <a:alpha val="50000"/>
          </a:srgbClr>
        </a:solidFill>
      </dgm:spPr>
      <dgm:t>
        <a:bodyPr/>
        <a:lstStyle/>
        <a:p>
          <a:r>
            <a:rPr lang="en-US" sz="1000" b="1"/>
            <a:t>Support</a:t>
          </a:r>
        </a:p>
        <a:p>
          <a:endParaRPr lang="en-US" sz="1000" b="0"/>
        </a:p>
        <a:p>
          <a:r>
            <a:rPr lang="en-US" sz="1000" b="0"/>
            <a:t>Continued coordination with </a:t>
          </a:r>
          <a:br>
            <a:rPr lang="en-US" sz="1000" b="0"/>
          </a:br>
          <a:r>
            <a:rPr lang="en-US" sz="1000" b="0"/>
            <a:t>ASMP and SSOS</a:t>
          </a:r>
        </a:p>
        <a:p>
          <a:r>
            <a:rPr lang="en-US" sz="1000" b="0"/>
            <a:t>Oversight of districts' EES systems</a:t>
          </a:r>
        </a:p>
      </dgm:t>
    </dgm:pt>
    <dgm:pt modelId="{8156DF0A-29E6-487D-B2B2-F3609092F113}" type="parTrans" cxnId="{C28EF76C-9939-4A17-AC5E-6BE60256F87D}">
      <dgm:prSet/>
      <dgm:spPr/>
      <dgm:t>
        <a:bodyPr/>
        <a:lstStyle/>
        <a:p>
          <a:endParaRPr lang="en-US"/>
        </a:p>
      </dgm:t>
    </dgm:pt>
    <dgm:pt modelId="{3675F9F3-0354-4FBA-9AD6-F5AD80C8010A}" type="sibTrans" cxnId="{C28EF76C-9939-4A17-AC5E-6BE60256F87D}">
      <dgm:prSet/>
      <dgm:spPr/>
      <dgm:t>
        <a:bodyPr/>
        <a:lstStyle/>
        <a:p>
          <a:endParaRPr lang="en-US"/>
        </a:p>
      </dgm:t>
    </dgm:pt>
    <dgm:pt modelId="{528818AD-D6B5-48F8-945A-04047197254D}" type="pres">
      <dgm:prSet presAssocID="{3DFFA230-135D-42DD-BBF0-493962111F06}" presName="compositeShape" presStyleCnt="0">
        <dgm:presLayoutVars>
          <dgm:chMax val="7"/>
          <dgm:dir/>
          <dgm:resizeHandles val="exact"/>
        </dgm:presLayoutVars>
      </dgm:prSet>
      <dgm:spPr/>
      <dgm:t>
        <a:bodyPr/>
        <a:lstStyle/>
        <a:p>
          <a:endParaRPr lang="en-US"/>
        </a:p>
      </dgm:t>
    </dgm:pt>
    <dgm:pt modelId="{9894D632-250A-45C2-BFEE-3D9D8849B60C}" type="pres">
      <dgm:prSet presAssocID="{D66E6FC8-D780-40B3-B611-34771FC80469}" presName="circ1" presStyleLbl="vennNode1" presStyleIdx="0" presStyleCnt="4" custScaleX="100272" custScaleY="97270"/>
      <dgm:spPr/>
      <dgm:t>
        <a:bodyPr/>
        <a:lstStyle/>
        <a:p>
          <a:endParaRPr lang="en-US"/>
        </a:p>
      </dgm:t>
    </dgm:pt>
    <dgm:pt modelId="{E0A0D730-4F67-46FA-90A7-64BE48ADF23B}" type="pres">
      <dgm:prSet presAssocID="{D66E6FC8-D780-40B3-B611-34771FC80469}" presName="circ1Tx" presStyleLbl="revTx" presStyleIdx="0" presStyleCnt="0">
        <dgm:presLayoutVars>
          <dgm:chMax val="0"/>
          <dgm:chPref val="0"/>
          <dgm:bulletEnabled val="1"/>
        </dgm:presLayoutVars>
      </dgm:prSet>
      <dgm:spPr/>
      <dgm:t>
        <a:bodyPr/>
        <a:lstStyle/>
        <a:p>
          <a:endParaRPr lang="en-US"/>
        </a:p>
      </dgm:t>
    </dgm:pt>
    <dgm:pt modelId="{62ED447F-AFD4-453B-B12A-93FE8F113084}" type="pres">
      <dgm:prSet presAssocID="{C31D3650-EA60-4138-978F-465DE3E6711D}" presName="circ2" presStyleLbl="vennNode1" presStyleIdx="1" presStyleCnt="4" custScaleX="98955" custScaleY="97588" custLinFactNeighborX="-710" custLinFactNeighborY="-156"/>
      <dgm:spPr/>
      <dgm:t>
        <a:bodyPr/>
        <a:lstStyle/>
        <a:p>
          <a:endParaRPr lang="en-US"/>
        </a:p>
      </dgm:t>
    </dgm:pt>
    <dgm:pt modelId="{0D8E1A22-3892-409E-9F2D-D06771C2AC33}" type="pres">
      <dgm:prSet presAssocID="{C31D3650-EA60-4138-978F-465DE3E6711D}" presName="circ2Tx" presStyleLbl="revTx" presStyleIdx="0" presStyleCnt="0">
        <dgm:presLayoutVars>
          <dgm:chMax val="0"/>
          <dgm:chPref val="0"/>
          <dgm:bulletEnabled val="1"/>
        </dgm:presLayoutVars>
      </dgm:prSet>
      <dgm:spPr/>
      <dgm:t>
        <a:bodyPr/>
        <a:lstStyle/>
        <a:p>
          <a:endParaRPr lang="en-US"/>
        </a:p>
      </dgm:t>
    </dgm:pt>
    <dgm:pt modelId="{A6FF9BFE-FCFC-417F-AE3C-000B8A90576D}" type="pres">
      <dgm:prSet presAssocID="{D00DA49B-CB84-4ACA-B59A-A0F2886C2E51}" presName="circ3" presStyleLbl="vennNode1" presStyleIdx="2" presStyleCnt="4" custScaleX="100311" custScaleY="99456" custLinFactNeighborX="-2231" custLinFactNeighborY="-274"/>
      <dgm:spPr/>
      <dgm:t>
        <a:bodyPr/>
        <a:lstStyle/>
        <a:p>
          <a:endParaRPr lang="en-US"/>
        </a:p>
      </dgm:t>
    </dgm:pt>
    <dgm:pt modelId="{208153E3-5337-40CA-BF93-23AF4E3AA58C}" type="pres">
      <dgm:prSet presAssocID="{D00DA49B-CB84-4ACA-B59A-A0F2886C2E51}" presName="circ3Tx" presStyleLbl="revTx" presStyleIdx="0" presStyleCnt="0">
        <dgm:presLayoutVars>
          <dgm:chMax val="0"/>
          <dgm:chPref val="0"/>
          <dgm:bulletEnabled val="1"/>
        </dgm:presLayoutVars>
      </dgm:prSet>
      <dgm:spPr/>
      <dgm:t>
        <a:bodyPr/>
        <a:lstStyle/>
        <a:p>
          <a:endParaRPr lang="en-US"/>
        </a:p>
      </dgm:t>
    </dgm:pt>
    <dgm:pt modelId="{C9F0B2E8-F581-426E-9D63-EDC151536B16}" type="pres">
      <dgm:prSet presAssocID="{54CE1C18-B67E-4F63-AFBA-715FC6163773}" presName="circ4" presStyleLbl="vennNode1" presStyleIdx="3" presStyleCnt="4" custScaleX="97434" custScaleY="95541" custLinFactNeighborX="-1658" custLinFactNeighborY="-248"/>
      <dgm:spPr/>
      <dgm:t>
        <a:bodyPr/>
        <a:lstStyle/>
        <a:p>
          <a:endParaRPr lang="en-US"/>
        </a:p>
      </dgm:t>
    </dgm:pt>
    <dgm:pt modelId="{24C4F63B-7C7A-4DD8-946F-6955F20D3CAC}" type="pres">
      <dgm:prSet presAssocID="{54CE1C18-B67E-4F63-AFBA-715FC6163773}" presName="circ4Tx" presStyleLbl="revTx" presStyleIdx="0" presStyleCnt="0">
        <dgm:presLayoutVars>
          <dgm:chMax val="0"/>
          <dgm:chPref val="0"/>
          <dgm:bulletEnabled val="1"/>
        </dgm:presLayoutVars>
      </dgm:prSet>
      <dgm:spPr/>
      <dgm:t>
        <a:bodyPr/>
        <a:lstStyle/>
        <a:p>
          <a:endParaRPr lang="en-US"/>
        </a:p>
      </dgm:t>
    </dgm:pt>
  </dgm:ptLst>
  <dgm:cxnLst>
    <dgm:cxn modelId="{85AE6C9B-197F-465A-8624-26991CD3D300}" type="presOf" srcId="{D00DA49B-CB84-4ACA-B59A-A0F2886C2E51}" destId="{A6FF9BFE-FCFC-417F-AE3C-000B8A90576D}" srcOrd="0" destOrd="0" presId="urn:microsoft.com/office/officeart/2005/8/layout/venn1"/>
    <dgm:cxn modelId="{A86C0718-4A04-4A88-83F8-937EEB072FA1}" type="presOf" srcId="{3DFFA230-135D-42DD-BBF0-493962111F06}" destId="{528818AD-D6B5-48F8-945A-04047197254D}" srcOrd="0" destOrd="0" presId="urn:microsoft.com/office/officeart/2005/8/layout/venn1"/>
    <dgm:cxn modelId="{C28EF76C-9939-4A17-AC5E-6BE60256F87D}" srcId="{3DFFA230-135D-42DD-BBF0-493962111F06}" destId="{D00DA49B-CB84-4ACA-B59A-A0F2886C2E51}" srcOrd="2" destOrd="0" parTransId="{8156DF0A-29E6-487D-B2B2-F3609092F113}" sibTransId="{3675F9F3-0354-4FBA-9AD6-F5AD80C8010A}"/>
    <dgm:cxn modelId="{E9BF969F-CA2D-4976-B56A-D4837D174AF6}" type="presOf" srcId="{C31D3650-EA60-4138-978F-465DE3E6711D}" destId="{0D8E1A22-3892-409E-9F2D-D06771C2AC33}" srcOrd="1" destOrd="0" presId="urn:microsoft.com/office/officeart/2005/8/layout/venn1"/>
    <dgm:cxn modelId="{577E0D35-202E-4F38-B5FC-BDCD9B041FCE}" type="presOf" srcId="{D66E6FC8-D780-40B3-B611-34771FC80469}" destId="{E0A0D730-4F67-46FA-90A7-64BE48ADF23B}" srcOrd="1" destOrd="0" presId="urn:microsoft.com/office/officeart/2005/8/layout/venn1"/>
    <dgm:cxn modelId="{370833DA-361C-4633-B000-E90933796AD5}" srcId="{3DFFA230-135D-42DD-BBF0-493962111F06}" destId="{C31D3650-EA60-4138-978F-465DE3E6711D}" srcOrd="1" destOrd="0" parTransId="{84D8C4D8-48D1-4BA4-8A7C-61776C3715FD}" sibTransId="{AD4F6D62-F1B0-4682-A7D8-2602F16DC6CF}"/>
    <dgm:cxn modelId="{17DF15A3-9B41-4D6C-A723-6F79662014E8}" type="presOf" srcId="{C31D3650-EA60-4138-978F-465DE3E6711D}" destId="{62ED447F-AFD4-453B-B12A-93FE8F113084}" srcOrd="0" destOrd="0" presId="urn:microsoft.com/office/officeart/2005/8/layout/venn1"/>
    <dgm:cxn modelId="{77DFE05C-0F42-4AEA-8501-191F6486163D}" srcId="{3DFFA230-135D-42DD-BBF0-493962111F06}" destId="{54CE1C18-B67E-4F63-AFBA-715FC6163773}" srcOrd="3" destOrd="0" parTransId="{875D792C-F3F4-4DEC-BE3A-29A88C57EA82}" sibTransId="{09178683-F686-4A52-8374-D268E8C54E18}"/>
    <dgm:cxn modelId="{0D2D0B5B-B61E-45E8-8A60-80CC1385E098}" srcId="{3DFFA230-135D-42DD-BBF0-493962111F06}" destId="{D66E6FC8-D780-40B3-B611-34771FC80469}" srcOrd="0" destOrd="0" parTransId="{5630E819-86F6-4B2B-B2CF-786FEBA0C7FD}" sibTransId="{A04129C2-329F-4FB3-9B44-0D5C1E252EA1}"/>
    <dgm:cxn modelId="{D83B0D23-F0A4-4D9B-AE4A-031DCB98EAFA}" type="presOf" srcId="{D00DA49B-CB84-4ACA-B59A-A0F2886C2E51}" destId="{208153E3-5337-40CA-BF93-23AF4E3AA58C}" srcOrd="1" destOrd="0" presId="urn:microsoft.com/office/officeart/2005/8/layout/venn1"/>
    <dgm:cxn modelId="{1FDA1785-DFAB-400A-9AF5-518EBF3A3AB2}" type="presOf" srcId="{54CE1C18-B67E-4F63-AFBA-715FC6163773}" destId="{C9F0B2E8-F581-426E-9D63-EDC151536B16}" srcOrd="0" destOrd="0" presId="urn:microsoft.com/office/officeart/2005/8/layout/venn1"/>
    <dgm:cxn modelId="{D056C69B-6673-4666-8686-7D9860856338}" type="presOf" srcId="{D66E6FC8-D780-40B3-B611-34771FC80469}" destId="{9894D632-250A-45C2-BFEE-3D9D8849B60C}" srcOrd="0" destOrd="0" presId="urn:microsoft.com/office/officeart/2005/8/layout/venn1"/>
    <dgm:cxn modelId="{FCC49084-F95B-49B3-A41F-7419C9C9319D}" type="presOf" srcId="{54CE1C18-B67E-4F63-AFBA-715FC6163773}" destId="{24C4F63B-7C7A-4DD8-946F-6955F20D3CAC}" srcOrd="1" destOrd="0" presId="urn:microsoft.com/office/officeart/2005/8/layout/venn1"/>
    <dgm:cxn modelId="{83423849-2905-4E4A-AC53-8085B43E7675}" type="presParOf" srcId="{528818AD-D6B5-48F8-945A-04047197254D}" destId="{9894D632-250A-45C2-BFEE-3D9D8849B60C}" srcOrd="0" destOrd="0" presId="urn:microsoft.com/office/officeart/2005/8/layout/venn1"/>
    <dgm:cxn modelId="{E8EE8C13-5EF5-4D75-8DE8-10D972BB2AC4}" type="presParOf" srcId="{528818AD-D6B5-48F8-945A-04047197254D}" destId="{E0A0D730-4F67-46FA-90A7-64BE48ADF23B}" srcOrd="1" destOrd="0" presId="urn:microsoft.com/office/officeart/2005/8/layout/venn1"/>
    <dgm:cxn modelId="{7D44A791-243E-44CB-BCDA-9513301E3C10}" type="presParOf" srcId="{528818AD-D6B5-48F8-945A-04047197254D}" destId="{62ED447F-AFD4-453B-B12A-93FE8F113084}" srcOrd="2" destOrd="0" presId="urn:microsoft.com/office/officeart/2005/8/layout/venn1"/>
    <dgm:cxn modelId="{C5B5A9B1-E8CE-4EA3-B7FE-1870364B24F9}" type="presParOf" srcId="{528818AD-D6B5-48F8-945A-04047197254D}" destId="{0D8E1A22-3892-409E-9F2D-D06771C2AC33}" srcOrd="3" destOrd="0" presId="urn:microsoft.com/office/officeart/2005/8/layout/venn1"/>
    <dgm:cxn modelId="{19A8B76D-48AF-4D68-987E-728A2885EE35}" type="presParOf" srcId="{528818AD-D6B5-48F8-945A-04047197254D}" destId="{A6FF9BFE-FCFC-417F-AE3C-000B8A90576D}" srcOrd="4" destOrd="0" presId="urn:microsoft.com/office/officeart/2005/8/layout/venn1"/>
    <dgm:cxn modelId="{B5E670A4-BA0F-4E96-B47A-59B93EC1AC4F}" type="presParOf" srcId="{528818AD-D6B5-48F8-945A-04047197254D}" destId="{208153E3-5337-40CA-BF93-23AF4E3AA58C}" srcOrd="5" destOrd="0" presId="urn:microsoft.com/office/officeart/2005/8/layout/venn1"/>
    <dgm:cxn modelId="{27025D4E-604C-418C-A22B-BFF6D9B9CFAC}" type="presParOf" srcId="{528818AD-D6B5-48F8-945A-04047197254D}" destId="{C9F0B2E8-F581-426E-9D63-EDC151536B16}" srcOrd="6" destOrd="0" presId="urn:microsoft.com/office/officeart/2005/8/layout/venn1"/>
    <dgm:cxn modelId="{B5193DC8-E459-4BF7-A315-FD9082ACCDE8}" type="presParOf" srcId="{528818AD-D6B5-48F8-945A-04047197254D}" destId="{24C4F63B-7C7A-4DD8-946F-6955F20D3CAC}" srcOrd="7" destOrd="0" presId="urn:microsoft.com/office/officeart/2005/8/layout/venn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9CC1DC0-CC33-4C05-AC5F-4706B5C51852}"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FCC92B3C-131C-4706-9254-436EE9AAE772}">
      <dgm:prSet phldrT="[Text]" custT="1"/>
      <dgm:spPr/>
      <dgm:t>
        <a:bodyPr/>
        <a:lstStyle/>
        <a:p>
          <a:r>
            <a:rPr lang="en-US" sz="1000" dirty="0" smtClean="0"/>
            <a:t>Share the Alaska Equity Plan with stakeholders to allow further engagement and improvement.</a:t>
          </a:r>
        </a:p>
        <a:p>
          <a:endParaRPr lang="en-US" sz="1500" dirty="0" smtClean="0"/>
        </a:p>
        <a:p>
          <a:endParaRPr lang="en-US" sz="1500" dirty="0" smtClean="0"/>
        </a:p>
        <a:p>
          <a:endParaRPr lang="en-US" sz="1500" dirty="0" smtClean="0"/>
        </a:p>
        <a:p>
          <a:endParaRPr lang="en-US" sz="1500" dirty="0" smtClean="0"/>
        </a:p>
        <a:p>
          <a:endParaRPr lang="en-US" sz="1500" dirty="0"/>
        </a:p>
      </dgm:t>
    </dgm:pt>
    <dgm:pt modelId="{0CA7A7C2-67BF-4A1A-A8A4-6BA96FDACB7B}" type="parTrans" cxnId="{686089FA-0924-43D2-81F4-2F52C864ACE3}">
      <dgm:prSet/>
      <dgm:spPr/>
      <dgm:t>
        <a:bodyPr/>
        <a:lstStyle/>
        <a:p>
          <a:endParaRPr lang="en-US"/>
        </a:p>
      </dgm:t>
    </dgm:pt>
    <dgm:pt modelId="{C04A9A63-E2EE-4EBC-A5E6-05D7F0219306}" type="sibTrans" cxnId="{686089FA-0924-43D2-81F4-2F52C864ACE3}">
      <dgm:prSet/>
      <dgm:spPr/>
      <dgm:t>
        <a:bodyPr/>
        <a:lstStyle/>
        <a:p>
          <a:endParaRPr lang="en-US"/>
        </a:p>
      </dgm:t>
    </dgm:pt>
    <dgm:pt modelId="{A920ABDA-B444-4277-9940-CC75675FAB66}">
      <dgm:prSet phldrT="[Text]"/>
      <dgm:spPr/>
      <dgm:t>
        <a:bodyPr/>
        <a:lstStyle/>
        <a:p>
          <a:r>
            <a:rPr lang="en-US" dirty="0" smtClean="0"/>
            <a:t>Phase 2: Support</a:t>
          </a:r>
          <a:endParaRPr lang="en-US" dirty="0"/>
        </a:p>
      </dgm:t>
    </dgm:pt>
    <dgm:pt modelId="{91BBBB19-8DE9-4398-B90B-F52E28ACF185}" type="parTrans" cxnId="{A8FA92FB-BCCD-4EEA-88AC-4E30FB52555E}">
      <dgm:prSet/>
      <dgm:spPr/>
      <dgm:t>
        <a:bodyPr/>
        <a:lstStyle/>
        <a:p>
          <a:endParaRPr lang="en-US"/>
        </a:p>
      </dgm:t>
    </dgm:pt>
    <dgm:pt modelId="{777397DB-2AFE-4FA6-A3C8-461526E99AFE}" type="sibTrans" cxnId="{A8FA92FB-BCCD-4EEA-88AC-4E30FB52555E}">
      <dgm:prSet/>
      <dgm:spPr/>
      <dgm:t>
        <a:bodyPr/>
        <a:lstStyle/>
        <a:p>
          <a:endParaRPr lang="en-US"/>
        </a:p>
      </dgm:t>
    </dgm:pt>
    <dgm:pt modelId="{C0EE3AD8-F835-40AF-9B37-8B955A9AD354}">
      <dgm:prSet phldrT="[Text]" custT="1"/>
      <dgm:spPr/>
      <dgm:t>
        <a:bodyPr/>
        <a:lstStyle/>
        <a:p>
          <a:r>
            <a:rPr lang="en-US" sz="1000" dirty="0" smtClean="0"/>
            <a:t>Support the districts </a:t>
          </a:r>
          <a:r>
            <a:rPr lang="en-US" sz="1000" dirty="0" smtClean="0">
              <a:solidFill>
                <a:sysClr val="windowText" lastClr="000000"/>
              </a:solidFill>
            </a:rPr>
            <a:t>identified</a:t>
          </a:r>
          <a:r>
            <a:rPr lang="en-US" sz="1000" dirty="0" smtClean="0"/>
            <a:t> with challenges in equitable access to effective teachers</a:t>
          </a:r>
          <a:r>
            <a:rPr lang="en-US" sz="1200" dirty="0" smtClean="0"/>
            <a:t>. </a:t>
          </a:r>
          <a:endParaRPr lang="en-US" sz="1200" dirty="0"/>
        </a:p>
      </dgm:t>
    </dgm:pt>
    <dgm:pt modelId="{85EA42C4-070E-437A-A4DA-1877F3BF43C5}" type="parTrans" cxnId="{2D416FB7-39C7-46FE-AA72-FBA3E2A69A2D}">
      <dgm:prSet/>
      <dgm:spPr/>
      <dgm:t>
        <a:bodyPr/>
        <a:lstStyle/>
        <a:p>
          <a:endParaRPr lang="en-US"/>
        </a:p>
      </dgm:t>
    </dgm:pt>
    <dgm:pt modelId="{397A883E-74A9-44B2-A6F2-8406B21A0730}" type="sibTrans" cxnId="{2D416FB7-39C7-46FE-AA72-FBA3E2A69A2D}">
      <dgm:prSet/>
      <dgm:spPr/>
      <dgm:t>
        <a:bodyPr/>
        <a:lstStyle/>
        <a:p>
          <a:endParaRPr lang="en-US"/>
        </a:p>
      </dgm:t>
    </dgm:pt>
    <dgm:pt modelId="{6889BB9F-FEB4-4678-B5DE-30F09ECCB9A7}">
      <dgm:prSet phldrT="[Text]"/>
      <dgm:spPr/>
      <dgm:t>
        <a:bodyPr/>
        <a:lstStyle/>
        <a:p>
          <a:r>
            <a:rPr lang="en-US" dirty="0" smtClean="0"/>
            <a:t>Phase 3: Review</a:t>
          </a:r>
          <a:endParaRPr lang="en-US" dirty="0"/>
        </a:p>
      </dgm:t>
    </dgm:pt>
    <dgm:pt modelId="{D5668D14-59AE-47F0-8C3C-277655E0C7A0}" type="parTrans" cxnId="{48B9B3E6-93A2-42E8-AB8D-3E777DD10EA8}">
      <dgm:prSet/>
      <dgm:spPr/>
      <dgm:t>
        <a:bodyPr/>
        <a:lstStyle/>
        <a:p>
          <a:endParaRPr lang="en-US"/>
        </a:p>
      </dgm:t>
    </dgm:pt>
    <dgm:pt modelId="{AE763A19-2E50-41CD-9C70-588AAB2F53D8}" type="sibTrans" cxnId="{48B9B3E6-93A2-42E8-AB8D-3E777DD10EA8}">
      <dgm:prSet/>
      <dgm:spPr/>
      <dgm:t>
        <a:bodyPr/>
        <a:lstStyle/>
        <a:p>
          <a:endParaRPr lang="en-US"/>
        </a:p>
      </dgm:t>
    </dgm:pt>
    <dgm:pt modelId="{AB366632-EE21-4529-9606-A41C5C0815A1}">
      <dgm:prSet phldrT="[Text]" custT="1"/>
      <dgm:spPr/>
      <dgm:t>
        <a:bodyPr/>
        <a:lstStyle/>
        <a:p>
          <a:r>
            <a:rPr lang="en-US" sz="1000" dirty="0" smtClean="0"/>
            <a:t>Analyze the implementation of the Alaska Equity Plan and make improvements as needed.</a:t>
          </a:r>
          <a:endParaRPr lang="en-US" sz="1000" dirty="0"/>
        </a:p>
      </dgm:t>
    </dgm:pt>
    <dgm:pt modelId="{F73F78EB-049A-438B-AA54-CA5B09A1050C}" type="parTrans" cxnId="{B9DFC5E2-E64C-49C1-94BC-090276FC0E6C}">
      <dgm:prSet/>
      <dgm:spPr/>
      <dgm:t>
        <a:bodyPr/>
        <a:lstStyle/>
        <a:p>
          <a:endParaRPr lang="en-US"/>
        </a:p>
      </dgm:t>
    </dgm:pt>
    <dgm:pt modelId="{53343E78-1FBB-46DE-A41A-20DF65AE1DF2}" type="sibTrans" cxnId="{B9DFC5E2-E64C-49C1-94BC-090276FC0E6C}">
      <dgm:prSet/>
      <dgm:spPr/>
      <dgm:t>
        <a:bodyPr/>
        <a:lstStyle/>
        <a:p>
          <a:endParaRPr lang="en-US"/>
        </a:p>
      </dgm:t>
    </dgm:pt>
    <dgm:pt modelId="{3B0566B0-B70A-4D2C-B621-BB29C82EC08D}">
      <dgm:prSet phldrT="[Text]"/>
      <dgm:spPr/>
      <dgm:t>
        <a:bodyPr/>
        <a:lstStyle/>
        <a:p>
          <a:r>
            <a:rPr lang="en-US" dirty="0" smtClean="0"/>
            <a:t>Phase 1: Awareness</a:t>
          </a:r>
          <a:endParaRPr lang="en-US" dirty="0"/>
        </a:p>
      </dgm:t>
    </dgm:pt>
    <dgm:pt modelId="{E30EE15C-E2B9-4882-A848-0D0FB1A28798}" type="sibTrans" cxnId="{53ECC5ED-7FE0-4AFC-AE5E-4BDE1FFCE128}">
      <dgm:prSet/>
      <dgm:spPr/>
      <dgm:t>
        <a:bodyPr/>
        <a:lstStyle/>
        <a:p>
          <a:endParaRPr lang="en-US"/>
        </a:p>
      </dgm:t>
    </dgm:pt>
    <dgm:pt modelId="{845DE94D-4640-451A-86CC-6C3272F0007D}" type="parTrans" cxnId="{53ECC5ED-7FE0-4AFC-AE5E-4BDE1FFCE128}">
      <dgm:prSet/>
      <dgm:spPr/>
      <dgm:t>
        <a:bodyPr/>
        <a:lstStyle/>
        <a:p>
          <a:endParaRPr lang="en-US"/>
        </a:p>
      </dgm:t>
    </dgm:pt>
    <dgm:pt modelId="{FB54BB2B-4AE4-47DF-BB9E-1D3410B79245}" type="pres">
      <dgm:prSet presAssocID="{69CC1DC0-CC33-4C05-AC5F-4706B5C51852}" presName="Name0" presStyleCnt="0">
        <dgm:presLayoutVars>
          <dgm:chMax val="5"/>
          <dgm:chPref val="5"/>
          <dgm:dir/>
          <dgm:animLvl val="lvl"/>
        </dgm:presLayoutVars>
      </dgm:prSet>
      <dgm:spPr/>
      <dgm:t>
        <a:bodyPr/>
        <a:lstStyle/>
        <a:p>
          <a:endParaRPr lang="en-US"/>
        </a:p>
      </dgm:t>
    </dgm:pt>
    <dgm:pt modelId="{08C44F9B-F74A-4043-B931-DD57FC144328}" type="pres">
      <dgm:prSet presAssocID="{3B0566B0-B70A-4D2C-B621-BB29C82EC08D}" presName="parentText1" presStyleLbl="node1" presStyleIdx="0" presStyleCnt="3" custLinFactNeighborX="-519">
        <dgm:presLayoutVars>
          <dgm:chMax/>
          <dgm:chPref val="3"/>
          <dgm:bulletEnabled val="1"/>
        </dgm:presLayoutVars>
      </dgm:prSet>
      <dgm:spPr/>
      <dgm:t>
        <a:bodyPr/>
        <a:lstStyle/>
        <a:p>
          <a:endParaRPr lang="en-US"/>
        </a:p>
      </dgm:t>
    </dgm:pt>
    <dgm:pt modelId="{A3BBADC0-D91D-487B-9E99-8165DA5F9CD6}" type="pres">
      <dgm:prSet presAssocID="{3B0566B0-B70A-4D2C-B621-BB29C82EC08D}" presName="childText1" presStyleLbl="solidAlignAcc1" presStyleIdx="0" presStyleCnt="3" custScaleX="100979" custScaleY="67088" custLinFactNeighborX="-595" custLinFactNeighborY="-18284">
        <dgm:presLayoutVars>
          <dgm:chMax val="0"/>
          <dgm:chPref val="0"/>
          <dgm:bulletEnabled val="1"/>
        </dgm:presLayoutVars>
      </dgm:prSet>
      <dgm:spPr/>
      <dgm:t>
        <a:bodyPr/>
        <a:lstStyle/>
        <a:p>
          <a:endParaRPr lang="en-US"/>
        </a:p>
      </dgm:t>
    </dgm:pt>
    <dgm:pt modelId="{44E1C2A8-3B65-4866-92DB-7B0F93ACECA6}" type="pres">
      <dgm:prSet presAssocID="{A920ABDA-B444-4277-9940-CC75675FAB66}" presName="parentText2" presStyleLbl="node1" presStyleIdx="1" presStyleCnt="3">
        <dgm:presLayoutVars>
          <dgm:chMax/>
          <dgm:chPref val="3"/>
          <dgm:bulletEnabled val="1"/>
        </dgm:presLayoutVars>
      </dgm:prSet>
      <dgm:spPr/>
      <dgm:t>
        <a:bodyPr/>
        <a:lstStyle/>
        <a:p>
          <a:endParaRPr lang="en-US"/>
        </a:p>
      </dgm:t>
    </dgm:pt>
    <dgm:pt modelId="{A99357D9-1E16-46C6-A2BB-E7548DFE433E}" type="pres">
      <dgm:prSet presAssocID="{A920ABDA-B444-4277-9940-CC75675FAB66}" presName="childText2" presStyleLbl="solidAlignAcc1" presStyleIdx="1" presStyleCnt="3" custScaleX="103351" custScaleY="63982" custLinFactNeighborX="2164" custLinFactNeighborY="-20321">
        <dgm:presLayoutVars>
          <dgm:chMax val="0"/>
          <dgm:chPref val="0"/>
          <dgm:bulletEnabled val="1"/>
        </dgm:presLayoutVars>
      </dgm:prSet>
      <dgm:spPr/>
      <dgm:t>
        <a:bodyPr/>
        <a:lstStyle/>
        <a:p>
          <a:endParaRPr lang="en-US"/>
        </a:p>
      </dgm:t>
    </dgm:pt>
    <dgm:pt modelId="{3A2EAD57-8B80-42F1-9B00-50D483FFFC9D}" type="pres">
      <dgm:prSet presAssocID="{6889BB9F-FEB4-4678-B5DE-30F09ECCB9A7}" presName="parentText3" presStyleLbl="node1" presStyleIdx="2" presStyleCnt="3">
        <dgm:presLayoutVars>
          <dgm:chMax/>
          <dgm:chPref val="3"/>
          <dgm:bulletEnabled val="1"/>
        </dgm:presLayoutVars>
      </dgm:prSet>
      <dgm:spPr/>
      <dgm:t>
        <a:bodyPr/>
        <a:lstStyle/>
        <a:p>
          <a:endParaRPr lang="en-US"/>
        </a:p>
      </dgm:t>
    </dgm:pt>
    <dgm:pt modelId="{7D1C003E-CF92-4F85-AA82-921FE10CE470}" type="pres">
      <dgm:prSet presAssocID="{6889BB9F-FEB4-4678-B5DE-30F09ECCB9A7}" presName="childText3" presStyleLbl="solidAlignAcc1" presStyleIdx="2" presStyleCnt="3" custScaleX="97291" custScaleY="75740" custLinFactNeighborX="2472" custLinFactNeighborY="-13048">
        <dgm:presLayoutVars>
          <dgm:chMax val="0"/>
          <dgm:chPref val="0"/>
          <dgm:bulletEnabled val="1"/>
        </dgm:presLayoutVars>
      </dgm:prSet>
      <dgm:spPr/>
      <dgm:t>
        <a:bodyPr/>
        <a:lstStyle/>
        <a:p>
          <a:endParaRPr lang="en-US"/>
        </a:p>
      </dgm:t>
    </dgm:pt>
  </dgm:ptLst>
  <dgm:cxnLst>
    <dgm:cxn modelId="{46E01303-48B0-4667-9254-860E67EF4533}" type="presOf" srcId="{6889BB9F-FEB4-4678-B5DE-30F09ECCB9A7}" destId="{3A2EAD57-8B80-42F1-9B00-50D483FFFC9D}" srcOrd="0" destOrd="0" presId="urn:microsoft.com/office/officeart/2009/3/layout/IncreasingArrowsProcess"/>
    <dgm:cxn modelId="{686089FA-0924-43D2-81F4-2F52C864ACE3}" srcId="{3B0566B0-B70A-4D2C-B621-BB29C82EC08D}" destId="{FCC92B3C-131C-4706-9254-436EE9AAE772}" srcOrd="0" destOrd="0" parTransId="{0CA7A7C2-67BF-4A1A-A8A4-6BA96FDACB7B}" sibTransId="{C04A9A63-E2EE-4EBC-A5E6-05D7F0219306}"/>
    <dgm:cxn modelId="{A8FA92FB-BCCD-4EEA-88AC-4E30FB52555E}" srcId="{69CC1DC0-CC33-4C05-AC5F-4706B5C51852}" destId="{A920ABDA-B444-4277-9940-CC75675FAB66}" srcOrd="1" destOrd="0" parTransId="{91BBBB19-8DE9-4398-B90B-F52E28ACF185}" sibTransId="{777397DB-2AFE-4FA6-A3C8-461526E99AFE}"/>
    <dgm:cxn modelId="{17BFCF0A-CBFB-40DB-83D8-71616466BA26}" type="presOf" srcId="{A920ABDA-B444-4277-9940-CC75675FAB66}" destId="{44E1C2A8-3B65-4866-92DB-7B0F93ACECA6}" srcOrd="0" destOrd="0" presId="urn:microsoft.com/office/officeart/2009/3/layout/IncreasingArrowsProcess"/>
    <dgm:cxn modelId="{B9DFC5E2-E64C-49C1-94BC-090276FC0E6C}" srcId="{6889BB9F-FEB4-4678-B5DE-30F09ECCB9A7}" destId="{AB366632-EE21-4529-9606-A41C5C0815A1}" srcOrd="0" destOrd="0" parTransId="{F73F78EB-049A-438B-AA54-CA5B09A1050C}" sibTransId="{53343E78-1FBB-46DE-A41A-20DF65AE1DF2}"/>
    <dgm:cxn modelId="{507A6883-6E48-4D90-80A5-804857E4CD61}" type="presOf" srcId="{AB366632-EE21-4529-9606-A41C5C0815A1}" destId="{7D1C003E-CF92-4F85-AA82-921FE10CE470}" srcOrd="0" destOrd="0" presId="urn:microsoft.com/office/officeart/2009/3/layout/IncreasingArrowsProcess"/>
    <dgm:cxn modelId="{0A80D670-49CB-41D8-A01B-70895614E119}" type="presOf" srcId="{C0EE3AD8-F835-40AF-9B37-8B955A9AD354}" destId="{A99357D9-1E16-46C6-A2BB-E7548DFE433E}" srcOrd="0" destOrd="0" presId="urn:microsoft.com/office/officeart/2009/3/layout/IncreasingArrowsProcess"/>
    <dgm:cxn modelId="{BEFC2131-6C5D-4AFA-8CD6-491E14AE6066}" type="presOf" srcId="{FCC92B3C-131C-4706-9254-436EE9AAE772}" destId="{A3BBADC0-D91D-487B-9E99-8165DA5F9CD6}" srcOrd="0" destOrd="0" presId="urn:microsoft.com/office/officeart/2009/3/layout/IncreasingArrowsProcess"/>
    <dgm:cxn modelId="{2D416FB7-39C7-46FE-AA72-FBA3E2A69A2D}" srcId="{A920ABDA-B444-4277-9940-CC75675FAB66}" destId="{C0EE3AD8-F835-40AF-9B37-8B955A9AD354}" srcOrd="0" destOrd="0" parTransId="{85EA42C4-070E-437A-A4DA-1877F3BF43C5}" sibTransId="{397A883E-74A9-44B2-A6F2-8406B21A0730}"/>
    <dgm:cxn modelId="{D0D8A88A-15B9-463B-B264-497DEAD2605D}" type="presOf" srcId="{69CC1DC0-CC33-4C05-AC5F-4706B5C51852}" destId="{FB54BB2B-4AE4-47DF-BB9E-1D3410B79245}" srcOrd="0" destOrd="0" presId="urn:microsoft.com/office/officeart/2009/3/layout/IncreasingArrowsProcess"/>
    <dgm:cxn modelId="{48B9B3E6-93A2-42E8-AB8D-3E777DD10EA8}" srcId="{69CC1DC0-CC33-4C05-AC5F-4706B5C51852}" destId="{6889BB9F-FEB4-4678-B5DE-30F09ECCB9A7}" srcOrd="2" destOrd="0" parTransId="{D5668D14-59AE-47F0-8C3C-277655E0C7A0}" sibTransId="{AE763A19-2E50-41CD-9C70-588AAB2F53D8}"/>
    <dgm:cxn modelId="{53ECC5ED-7FE0-4AFC-AE5E-4BDE1FFCE128}" srcId="{69CC1DC0-CC33-4C05-AC5F-4706B5C51852}" destId="{3B0566B0-B70A-4D2C-B621-BB29C82EC08D}" srcOrd="0" destOrd="0" parTransId="{845DE94D-4640-451A-86CC-6C3272F0007D}" sibTransId="{E30EE15C-E2B9-4882-A848-0D0FB1A28798}"/>
    <dgm:cxn modelId="{1EEFDFF2-8E7C-40C5-B1AF-951977B30E25}" type="presOf" srcId="{3B0566B0-B70A-4D2C-B621-BB29C82EC08D}" destId="{08C44F9B-F74A-4043-B931-DD57FC144328}" srcOrd="0" destOrd="0" presId="urn:microsoft.com/office/officeart/2009/3/layout/IncreasingArrowsProcess"/>
    <dgm:cxn modelId="{122C5917-35AA-45BB-A132-157376891D3B}" type="presParOf" srcId="{FB54BB2B-4AE4-47DF-BB9E-1D3410B79245}" destId="{08C44F9B-F74A-4043-B931-DD57FC144328}" srcOrd="0" destOrd="0" presId="urn:microsoft.com/office/officeart/2009/3/layout/IncreasingArrowsProcess"/>
    <dgm:cxn modelId="{6B8AE9A0-AD09-41A5-9BBB-17906D2DA6E3}" type="presParOf" srcId="{FB54BB2B-4AE4-47DF-BB9E-1D3410B79245}" destId="{A3BBADC0-D91D-487B-9E99-8165DA5F9CD6}" srcOrd="1" destOrd="0" presId="urn:microsoft.com/office/officeart/2009/3/layout/IncreasingArrowsProcess"/>
    <dgm:cxn modelId="{4560B388-3EA2-4A3F-81EF-3CF2524A5208}" type="presParOf" srcId="{FB54BB2B-4AE4-47DF-BB9E-1D3410B79245}" destId="{44E1C2A8-3B65-4866-92DB-7B0F93ACECA6}" srcOrd="2" destOrd="0" presId="urn:microsoft.com/office/officeart/2009/3/layout/IncreasingArrowsProcess"/>
    <dgm:cxn modelId="{12876464-69EB-4398-B753-629ADCED608F}" type="presParOf" srcId="{FB54BB2B-4AE4-47DF-BB9E-1D3410B79245}" destId="{A99357D9-1E16-46C6-A2BB-E7548DFE433E}" srcOrd="3" destOrd="0" presId="urn:microsoft.com/office/officeart/2009/3/layout/IncreasingArrowsProcess"/>
    <dgm:cxn modelId="{DC938600-AA92-4F4C-B7F0-6BF87F0C561D}" type="presParOf" srcId="{FB54BB2B-4AE4-47DF-BB9E-1D3410B79245}" destId="{3A2EAD57-8B80-42F1-9B00-50D483FFFC9D}" srcOrd="4" destOrd="0" presId="urn:microsoft.com/office/officeart/2009/3/layout/IncreasingArrowsProcess"/>
    <dgm:cxn modelId="{74EFAEAB-6918-4A01-8485-C7E8368EA0DF}" type="presParOf" srcId="{FB54BB2B-4AE4-47DF-BB9E-1D3410B79245}" destId="{7D1C003E-CF92-4F85-AA82-921FE10CE470}" srcOrd="5" destOrd="0" presId="urn:microsoft.com/office/officeart/2009/3/layout/IncreasingArrowsProcess"/>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0CCA5D-DD49-4E0A-9B1A-3F975DF1487A}">
      <dsp:nvSpPr>
        <dsp:cNvPr id="0" name=""/>
        <dsp:cNvSpPr/>
      </dsp:nvSpPr>
      <dsp:spPr>
        <a:xfrm>
          <a:off x="2733972" y="87748"/>
          <a:ext cx="1784777" cy="13354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ASSESS NEEDS</a:t>
          </a:r>
        </a:p>
        <a:p>
          <a:pPr lvl="0" algn="l" defTabSz="711200">
            <a:lnSpc>
              <a:spcPct val="90000"/>
            </a:lnSpc>
            <a:spcBef>
              <a:spcPct val="0"/>
            </a:spcBef>
            <a:spcAft>
              <a:spcPct val="35000"/>
            </a:spcAft>
          </a:pPr>
          <a:r>
            <a:rPr lang="en-US" sz="1000" kern="1200"/>
            <a:t>-Analysis of student performance data</a:t>
          </a:r>
        </a:p>
        <a:p>
          <a:pPr lvl="0" algn="l" defTabSz="711200">
            <a:lnSpc>
              <a:spcPct val="90000"/>
            </a:lnSpc>
            <a:spcBef>
              <a:spcPct val="0"/>
            </a:spcBef>
            <a:spcAft>
              <a:spcPct val="35000"/>
            </a:spcAft>
          </a:pPr>
          <a:r>
            <a:rPr lang="en-US" sz="1000" kern="1200"/>
            <a:t>-Needs assessment by school team</a:t>
          </a:r>
        </a:p>
        <a:p>
          <a:pPr lvl="0" algn="l" defTabSz="711200">
            <a:lnSpc>
              <a:spcPct val="90000"/>
            </a:lnSpc>
            <a:spcBef>
              <a:spcPct val="0"/>
            </a:spcBef>
            <a:spcAft>
              <a:spcPct val="35000"/>
            </a:spcAft>
          </a:pPr>
          <a:r>
            <a:rPr lang="en-US" sz="1000" kern="1200"/>
            <a:t>-Indicators of effective practice</a:t>
          </a:r>
        </a:p>
      </dsp:txBody>
      <dsp:txXfrm>
        <a:off x="2773087" y="126863"/>
        <a:ext cx="1706547" cy="1257239"/>
      </dsp:txXfrm>
    </dsp:sp>
    <dsp:sp modelId="{63D9549F-17AD-4300-9258-B0C2B25805E6}">
      <dsp:nvSpPr>
        <dsp:cNvPr id="0" name=""/>
        <dsp:cNvSpPr/>
      </dsp:nvSpPr>
      <dsp:spPr>
        <a:xfrm rot="5065300">
          <a:off x="3434804" y="1396082"/>
          <a:ext cx="507500" cy="28717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520955" y="1453516"/>
        <a:ext cx="335198" cy="172303"/>
      </dsp:txXfrm>
    </dsp:sp>
    <dsp:sp modelId="{181EB2DA-EC39-45E3-8ED2-74D54FB7575A}">
      <dsp:nvSpPr>
        <dsp:cNvPr id="0" name=""/>
        <dsp:cNvSpPr/>
      </dsp:nvSpPr>
      <dsp:spPr>
        <a:xfrm>
          <a:off x="2855390" y="1751373"/>
          <a:ext cx="1875212" cy="14204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PLAN &amp; ACT</a:t>
          </a:r>
        </a:p>
        <a:p>
          <a:pPr lvl="0" algn="l" defTabSz="711200">
            <a:lnSpc>
              <a:spcPct val="90000"/>
            </a:lnSpc>
            <a:spcBef>
              <a:spcPct val="0"/>
            </a:spcBef>
            <a:spcAft>
              <a:spcPct val="35000"/>
            </a:spcAft>
          </a:pPr>
          <a:r>
            <a:rPr lang="en-US" sz="1000" kern="1200"/>
            <a:t>-Identify and implement SMART goals</a:t>
          </a:r>
        </a:p>
        <a:p>
          <a:pPr lvl="0" algn="l" defTabSz="711200">
            <a:lnSpc>
              <a:spcPct val="90000"/>
            </a:lnSpc>
            <a:spcBef>
              <a:spcPct val="0"/>
            </a:spcBef>
            <a:spcAft>
              <a:spcPct val="35000"/>
            </a:spcAft>
          </a:pPr>
          <a:r>
            <a:rPr lang="en-US" sz="1000" kern="1200"/>
            <a:t>-Routine progress checks of improvement goals</a:t>
          </a:r>
        </a:p>
        <a:p>
          <a:pPr lvl="0" algn="l" defTabSz="711200">
            <a:lnSpc>
              <a:spcPct val="90000"/>
            </a:lnSpc>
            <a:spcBef>
              <a:spcPct val="0"/>
            </a:spcBef>
            <a:spcAft>
              <a:spcPct val="35000"/>
            </a:spcAft>
          </a:pPr>
          <a:r>
            <a:rPr lang="en-US" sz="1000" kern="1200"/>
            <a:t>-District and state level engagement and support</a:t>
          </a:r>
        </a:p>
      </dsp:txBody>
      <dsp:txXfrm>
        <a:off x="2896994" y="1792977"/>
        <a:ext cx="1792004" cy="1337247"/>
      </dsp:txXfrm>
    </dsp:sp>
    <dsp:sp modelId="{988E1FA5-88BA-4A30-9EF9-66AC42FEC29F}">
      <dsp:nvSpPr>
        <dsp:cNvPr id="0" name=""/>
        <dsp:cNvSpPr/>
      </dsp:nvSpPr>
      <dsp:spPr>
        <a:xfrm rot="11610035">
          <a:off x="2164977" y="1996768"/>
          <a:ext cx="579977" cy="28717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2251128" y="2054202"/>
        <a:ext cx="407675" cy="172303"/>
      </dsp:txXfrm>
    </dsp:sp>
    <dsp:sp modelId="{D9D91028-BC71-4C6E-8FA1-242547B93646}">
      <dsp:nvSpPr>
        <dsp:cNvPr id="0" name=""/>
        <dsp:cNvSpPr/>
      </dsp:nvSpPr>
      <dsp:spPr>
        <a:xfrm>
          <a:off x="287502" y="1076303"/>
          <a:ext cx="1767038" cy="15115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Evaluate Impact</a:t>
          </a:r>
        </a:p>
        <a:p>
          <a:pPr lvl="0" algn="l" defTabSz="711200">
            <a:lnSpc>
              <a:spcPct val="90000"/>
            </a:lnSpc>
            <a:spcBef>
              <a:spcPct val="0"/>
            </a:spcBef>
            <a:spcAft>
              <a:spcPct val="35000"/>
            </a:spcAft>
          </a:pPr>
          <a:r>
            <a:rPr lang="en-US" sz="1000" kern="1200"/>
            <a:t>-Formative assessments and progress monitoring</a:t>
          </a:r>
        </a:p>
        <a:p>
          <a:pPr lvl="0" algn="l" defTabSz="711200">
            <a:lnSpc>
              <a:spcPct val="90000"/>
            </a:lnSpc>
            <a:spcBef>
              <a:spcPct val="0"/>
            </a:spcBef>
            <a:spcAft>
              <a:spcPct val="35000"/>
            </a:spcAft>
          </a:pPr>
          <a:r>
            <a:rPr lang="en-US" sz="1000" kern="1200"/>
            <a:t>-Analysis of intervention effectiveness and impact</a:t>
          </a:r>
        </a:p>
        <a:p>
          <a:pPr lvl="0" algn="l" defTabSz="711200">
            <a:lnSpc>
              <a:spcPct val="90000"/>
            </a:lnSpc>
            <a:spcBef>
              <a:spcPct val="0"/>
            </a:spcBef>
            <a:spcAft>
              <a:spcPct val="35000"/>
            </a:spcAft>
          </a:pPr>
          <a:r>
            <a:rPr lang="en-US" sz="1000" kern="1200"/>
            <a:t>-District and state jointly ensure plan implementation</a:t>
          </a:r>
        </a:p>
        <a:p>
          <a:pPr lvl="0" algn="l" defTabSz="711200">
            <a:lnSpc>
              <a:spcPct val="90000"/>
            </a:lnSpc>
            <a:spcBef>
              <a:spcPct val="0"/>
            </a:spcBef>
            <a:spcAft>
              <a:spcPct val="35000"/>
            </a:spcAft>
          </a:pPr>
          <a:endParaRPr lang="en-US" sz="800" kern="1200"/>
        </a:p>
      </dsp:txBody>
      <dsp:txXfrm>
        <a:off x="331775" y="1120576"/>
        <a:ext cx="1678492" cy="1423033"/>
      </dsp:txXfrm>
    </dsp:sp>
    <dsp:sp modelId="{97330E7A-EDC4-431D-BDFD-87F795BE5710}">
      <dsp:nvSpPr>
        <dsp:cNvPr id="0" name=""/>
        <dsp:cNvSpPr/>
      </dsp:nvSpPr>
      <dsp:spPr>
        <a:xfrm rot="20179419">
          <a:off x="2084678" y="1152146"/>
          <a:ext cx="619158" cy="28717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170829" y="1209580"/>
        <a:ext cx="446856" cy="1723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71CC32-DA86-4BD2-BFF0-BDFAA283FEA0}">
      <dsp:nvSpPr>
        <dsp:cNvPr id="0" name=""/>
        <dsp:cNvSpPr/>
      </dsp:nvSpPr>
      <dsp:spPr>
        <a:xfrm>
          <a:off x="1928" y="170011"/>
          <a:ext cx="948195" cy="450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n-US" sz="1200" kern="1200"/>
            <a:t>If </a:t>
          </a:r>
          <a:r>
            <a:rPr lang="en-US" sz="1200" b="1" kern="1200"/>
            <a:t>Alaska</a:t>
          </a:r>
        </a:p>
      </dsp:txBody>
      <dsp:txXfrm>
        <a:off x="1928" y="170011"/>
        <a:ext cx="948195" cy="300476"/>
      </dsp:txXfrm>
    </dsp:sp>
    <dsp:sp modelId="{C05C7676-A2E4-49B4-8D6D-F465D69E0A73}">
      <dsp:nvSpPr>
        <dsp:cNvPr id="0" name=""/>
        <dsp:cNvSpPr/>
      </dsp:nvSpPr>
      <dsp:spPr>
        <a:xfrm>
          <a:off x="196137" y="470488"/>
          <a:ext cx="948195" cy="3207600"/>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Amplifies student learning</a:t>
          </a:r>
        </a:p>
        <a:p>
          <a:pPr marL="57150" lvl="1" indent="-57150" algn="l" defTabSz="400050">
            <a:lnSpc>
              <a:spcPct val="90000"/>
            </a:lnSpc>
            <a:spcBef>
              <a:spcPct val="0"/>
            </a:spcBef>
            <a:spcAft>
              <a:spcPct val="15000"/>
            </a:spcAft>
            <a:buChar char="••"/>
          </a:pPr>
          <a:r>
            <a:rPr lang="en-US" sz="900" kern="1200"/>
            <a:t>Inspires community and tribal  ownership of educational excellence</a:t>
          </a:r>
        </a:p>
        <a:p>
          <a:pPr marL="57150" lvl="1" indent="-57150" algn="l" defTabSz="400050">
            <a:lnSpc>
              <a:spcPct val="90000"/>
            </a:lnSpc>
            <a:spcBef>
              <a:spcPct val="0"/>
            </a:spcBef>
            <a:spcAft>
              <a:spcPct val="15000"/>
            </a:spcAft>
            <a:buChar char="••"/>
          </a:pPr>
          <a:r>
            <a:rPr lang="en-US" sz="900" kern="1200"/>
            <a:t>Modernizes the education system</a:t>
          </a:r>
        </a:p>
        <a:p>
          <a:pPr marL="57150" lvl="1" indent="-57150" algn="l" defTabSz="400050">
            <a:lnSpc>
              <a:spcPct val="90000"/>
            </a:lnSpc>
            <a:spcBef>
              <a:spcPct val="0"/>
            </a:spcBef>
            <a:spcAft>
              <a:spcPct val="15000"/>
            </a:spcAft>
            <a:buChar char="••"/>
          </a:pPr>
          <a:r>
            <a:rPr lang="en-US" sz="900" kern="1200"/>
            <a:t>Ensures excellent educators</a:t>
          </a:r>
        </a:p>
        <a:p>
          <a:pPr marL="57150" lvl="1" indent="-57150" algn="l" defTabSz="400050">
            <a:lnSpc>
              <a:spcPct val="90000"/>
            </a:lnSpc>
            <a:spcBef>
              <a:spcPct val="0"/>
            </a:spcBef>
            <a:spcAft>
              <a:spcPct val="15000"/>
            </a:spcAft>
            <a:buChar char="••"/>
          </a:pPr>
          <a:r>
            <a:rPr lang="en-US" sz="900" kern="1200"/>
            <a:t>Promotes safety and well-being</a:t>
          </a:r>
        </a:p>
        <a:p>
          <a:pPr marL="57150" lvl="1" indent="-57150" algn="l" defTabSz="400050">
            <a:lnSpc>
              <a:spcPct val="90000"/>
            </a:lnSpc>
            <a:spcBef>
              <a:spcPct val="0"/>
            </a:spcBef>
            <a:spcAft>
              <a:spcPct val="15000"/>
            </a:spcAft>
            <a:buChar char="••"/>
          </a:pPr>
          <a:endParaRPr lang="en-US" sz="900" kern="1200"/>
        </a:p>
        <a:p>
          <a:pPr marL="114300" lvl="2" indent="-57150" algn="l" defTabSz="400050">
            <a:lnSpc>
              <a:spcPct val="90000"/>
            </a:lnSpc>
            <a:spcBef>
              <a:spcPct val="0"/>
            </a:spcBef>
            <a:spcAft>
              <a:spcPct val="15000"/>
            </a:spcAft>
            <a:buChar char="••"/>
          </a:pPr>
          <a:endParaRPr lang="en-US" sz="900" kern="1200"/>
        </a:p>
      </dsp:txBody>
      <dsp:txXfrm>
        <a:off x="223909" y="498260"/>
        <a:ext cx="892651" cy="3152056"/>
      </dsp:txXfrm>
    </dsp:sp>
    <dsp:sp modelId="{DE7272FF-C68E-4450-BB1C-0B2D5300B7BC}">
      <dsp:nvSpPr>
        <dsp:cNvPr id="0" name=""/>
        <dsp:cNvSpPr/>
      </dsp:nvSpPr>
      <dsp:spPr>
        <a:xfrm>
          <a:off x="1093867" y="202213"/>
          <a:ext cx="304735" cy="236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093867" y="249428"/>
        <a:ext cx="233913" cy="141643"/>
      </dsp:txXfrm>
    </dsp:sp>
    <dsp:sp modelId="{944451EF-2017-425E-BAEF-282F35BD74C8}">
      <dsp:nvSpPr>
        <dsp:cNvPr id="0" name=""/>
        <dsp:cNvSpPr/>
      </dsp:nvSpPr>
      <dsp:spPr>
        <a:xfrm>
          <a:off x="1525096" y="170011"/>
          <a:ext cx="1038558" cy="450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Then  </a:t>
          </a:r>
          <a:r>
            <a:rPr lang="en-US" sz="1100" b="1" kern="1200"/>
            <a:t>Districts</a:t>
          </a:r>
        </a:p>
      </dsp:txBody>
      <dsp:txXfrm>
        <a:off x="1525096" y="170011"/>
        <a:ext cx="1038558" cy="300476"/>
      </dsp:txXfrm>
    </dsp:sp>
    <dsp:sp modelId="{CDA511BE-B46B-4A36-B932-EDC78DD10734}">
      <dsp:nvSpPr>
        <dsp:cNvPr id="0" name=""/>
        <dsp:cNvSpPr/>
      </dsp:nvSpPr>
      <dsp:spPr>
        <a:xfrm>
          <a:off x="1764487" y="470488"/>
          <a:ext cx="948195" cy="3207600"/>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Will be empowered to serve all students by</a:t>
          </a:r>
        </a:p>
        <a:p>
          <a:pPr marL="114300" lvl="2" indent="-57150" algn="l" defTabSz="400050">
            <a:lnSpc>
              <a:spcPct val="90000"/>
            </a:lnSpc>
            <a:spcBef>
              <a:spcPct val="0"/>
            </a:spcBef>
            <a:spcAft>
              <a:spcPct val="15000"/>
            </a:spcAft>
            <a:buChar char="••"/>
          </a:pPr>
          <a:r>
            <a:rPr lang="en-US" sz="900" kern="1200"/>
            <a:t>ensuring effective leadership</a:t>
          </a:r>
        </a:p>
        <a:p>
          <a:pPr marL="114300" lvl="2" indent="-57150" algn="l" defTabSz="400050">
            <a:lnSpc>
              <a:spcPct val="90000"/>
            </a:lnSpc>
            <a:spcBef>
              <a:spcPct val="0"/>
            </a:spcBef>
            <a:spcAft>
              <a:spcPct val="15000"/>
            </a:spcAft>
            <a:buChar char="••"/>
          </a:pPr>
          <a:r>
            <a:rPr lang="en-US" sz="900" kern="1200"/>
            <a:t>recruiting and retaining effective teachers</a:t>
          </a:r>
        </a:p>
        <a:p>
          <a:pPr marL="114300" lvl="2" indent="-57150" algn="l" defTabSz="400050">
            <a:lnSpc>
              <a:spcPct val="90000"/>
            </a:lnSpc>
            <a:spcBef>
              <a:spcPct val="0"/>
            </a:spcBef>
            <a:spcAft>
              <a:spcPct val="15000"/>
            </a:spcAft>
            <a:buChar char="••"/>
          </a:pPr>
          <a:r>
            <a:rPr lang="en-US" sz="900" kern="1200"/>
            <a:t>training and supporting teachers in effective instructional practices	</a:t>
          </a:r>
        </a:p>
      </dsp:txBody>
      <dsp:txXfrm>
        <a:off x="1792259" y="498260"/>
        <a:ext cx="892651" cy="3152056"/>
      </dsp:txXfrm>
    </dsp:sp>
    <dsp:sp modelId="{24F40578-E4B4-4922-9C45-2506AE1C14C8}">
      <dsp:nvSpPr>
        <dsp:cNvPr id="0" name=""/>
        <dsp:cNvSpPr/>
      </dsp:nvSpPr>
      <dsp:spPr>
        <a:xfrm>
          <a:off x="2696103" y="202213"/>
          <a:ext cx="280789" cy="236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696103" y="249428"/>
        <a:ext cx="209967" cy="141643"/>
      </dsp:txXfrm>
    </dsp:sp>
    <dsp:sp modelId="{B3F1A52F-6597-443A-99B2-19A7DC9FE07A}">
      <dsp:nvSpPr>
        <dsp:cNvPr id="0" name=""/>
        <dsp:cNvSpPr/>
      </dsp:nvSpPr>
      <dsp:spPr>
        <a:xfrm>
          <a:off x="3093446" y="170011"/>
          <a:ext cx="948195" cy="450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t>Then </a:t>
          </a:r>
          <a:r>
            <a:rPr lang="en-US" sz="1100" b="1" kern="1200"/>
            <a:t>Schools</a:t>
          </a:r>
        </a:p>
      </dsp:txBody>
      <dsp:txXfrm>
        <a:off x="3093446" y="170011"/>
        <a:ext cx="948195" cy="300476"/>
      </dsp:txXfrm>
    </dsp:sp>
    <dsp:sp modelId="{18784266-14CD-498F-B2A5-9A3B1F625FCF}">
      <dsp:nvSpPr>
        <dsp:cNvPr id="0" name=""/>
        <dsp:cNvSpPr/>
      </dsp:nvSpPr>
      <dsp:spPr>
        <a:xfrm>
          <a:off x="3234309" y="503334"/>
          <a:ext cx="948195" cy="3207600"/>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Will have the capacity to provide an excellent education for every student every day:</a:t>
          </a:r>
        </a:p>
        <a:p>
          <a:pPr marL="57150" lvl="1" indent="-57150" algn="l" defTabSz="400050">
            <a:lnSpc>
              <a:spcPct val="90000"/>
            </a:lnSpc>
            <a:spcBef>
              <a:spcPct val="0"/>
            </a:spcBef>
            <a:spcAft>
              <a:spcPct val="15000"/>
            </a:spcAft>
            <a:buChar char="••"/>
          </a:pPr>
          <a:r>
            <a:rPr lang="en-US" sz="900" kern="1200"/>
            <a:t>What do we want out students to know and do?</a:t>
          </a:r>
        </a:p>
        <a:p>
          <a:pPr marL="57150" lvl="1" indent="-57150" algn="l" defTabSz="400050">
            <a:lnSpc>
              <a:spcPct val="90000"/>
            </a:lnSpc>
            <a:spcBef>
              <a:spcPct val="0"/>
            </a:spcBef>
            <a:spcAft>
              <a:spcPct val="15000"/>
            </a:spcAft>
            <a:buChar char="••"/>
          </a:pPr>
          <a:r>
            <a:rPr lang="en-US" sz="900" kern="1200"/>
            <a:t>How will we teach them?</a:t>
          </a:r>
        </a:p>
        <a:p>
          <a:pPr marL="57150" lvl="1" indent="-57150" algn="l" defTabSz="400050">
            <a:lnSpc>
              <a:spcPct val="90000"/>
            </a:lnSpc>
            <a:spcBef>
              <a:spcPct val="0"/>
            </a:spcBef>
            <a:spcAft>
              <a:spcPct val="15000"/>
            </a:spcAft>
            <a:buChar char="••"/>
          </a:pPr>
          <a:r>
            <a:rPr lang="en-US" sz="900" kern="1200"/>
            <a:t>How will we know if they learned it?</a:t>
          </a:r>
        </a:p>
        <a:p>
          <a:pPr marL="57150" lvl="1" indent="-57150" algn="l" defTabSz="400050">
            <a:lnSpc>
              <a:spcPct val="90000"/>
            </a:lnSpc>
            <a:spcBef>
              <a:spcPct val="0"/>
            </a:spcBef>
            <a:spcAft>
              <a:spcPct val="15000"/>
            </a:spcAft>
            <a:buChar char="••"/>
          </a:pPr>
          <a:r>
            <a:rPr lang="en-US" sz="900" kern="1200"/>
            <a:t>What will we do if do not learn it?</a:t>
          </a:r>
        </a:p>
        <a:p>
          <a:pPr marL="57150" lvl="1" indent="-57150" algn="l" defTabSz="400050">
            <a:lnSpc>
              <a:spcPct val="90000"/>
            </a:lnSpc>
            <a:spcBef>
              <a:spcPct val="0"/>
            </a:spcBef>
            <a:spcAft>
              <a:spcPct val="15000"/>
            </a:spcAft>
            <a:buChar char="••"/>
          </a:pPr>
          <a:r>
            <a:rPr lang="en-US" sz="900" kern="1200"/>
            <a:t>What will we do if they already know it?</a:t>
          </a:r>
        </a:p>
      </dsp:txBody>
      <dsp:txXfrm>
        <a:off x="3262081" y="531106"/>
        <a:ext cx="892651" cy="3152056"/>
      </dsp:txXfrm>
    </dsp:sp>
    <dsp:sp modelId="{FA854BD1-D4F8-41F3-B999-E8AE9887276E}">
      <dsp:nvSpPr>
        <dsp:cNvPr id="0" name=""/>
        <dsp:cNvSpPr/>
      </dsp:nvSpPr>
      <dsp:spPr>
        <a:xfrm rot="5529">
          <a:off x="4185385" y="203452"/>
          <a:ext cx="304735" cy="2360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185385" y="250610"/>
        <a:ext cx="233913" cy="141643"/>
      </dsp:txXfrm>
    </dsp:sp>
    <dsp:sp modelId="{D434DB6F-6795-4E7D-BCFB-5303D3C7E5DF}">
      <dsp:nvSpPr>
        <dsp:cNvPr id="0" name=""/>
        <dsp:cNvSpPr/>
      </dsp:nvSpPr>
      <dsp:spPr>
        <a:xfrm>
          <a:off x="4616614" y="162516"/>
          <a:ext cx="1008700" cy="4806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b="1" kern="1200"/>
            <a:t>Student</a:t>
          </a:r>
          <a:r>
            <a:rPr lang="en-US" sz="1100" kern="1200"/>
            <a:t> Outcomes</a:t>
          </a:r>
          <a:endParaRPr lang="en-US" sz="1100" b="1" kern="1200"/>
        </a:p>
      </dsp:txBody>
      <dsp:txXfrm>
        <a:off x="4616614" y="162516"/>
        <a:ext cx="1008700" cy="320464"/>
      </dsp:txXfrm>
    </dsp:sp>
    <dsp:sp modelId="{4C47BCD1-F896-4C60-A393-8F420FB72931}">
      <dsp:nvSpPr>
        <dsp:cNvPr id="0" name=""/>
        <dsp:cNvSpPr/>
      </dsp:nvSpPr>
      <dsp:spPr>
        <a:xfrm>
          <a:off x="4643357" y="640499"/>
          <a:ext cx="948195" cy="3207600"/>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All students can:</a:t>
          </a:r>
        </a:p>
        <a:p>
          <a:pPr marL="114300" lvl="2" indent="-57150" algn="l" defTabSz="400050">
            <a:lnSpc>
              <a:spcPct val="90000"/>
            </a:lnSpc>
            <a:spcBef>
              <a:spcPct val="0"/>
            </a:spcBef>
            <a:spcAft>
              <a:spcPct val="15000"/>
            </a:spcAft>
            <a:buChar char="••"/>
          </a:pPr>
          <a:r>
            <a:rPr lang="en-US" sz="900" kern="1200"/>
            <a:t> succeed in their education and work</a:t>
          </a:r>
        </a:p>
        <a:p>
          <a:pPr marL="114300" lvl="2" indent="-57150" algn="l" defTabSz="400050">
            <a:lnSpc>
              <a:spcPct val="90000"/>
            </a:lnSpc>
            <a:spcBef>
              <a:spcPct val="0"/>
            </a:spcBef>
            <a:spcAft>
              <a:spcPct val="15000"/>
            </a:spcAft>
            <a:buChar char="••"/>
          </a:pPr>
          <a:r>
            <a:rPr lang="en-US" sz="900" kern="1200"/>
            <a:t>shape worthwhile and satisfying lives for themselves</a:t>
          </a:r>
        </a:p>
        <a:p>
          <a:pPr marL="114300" lvl="2" indent="-57150" algn="l" defTabSz="400050">
            <a:lnSpc>
              <a:spcPct val="90000"/>
            </a:lnSpc>
            <a:spcBef>
              <a:spcPct val="0"/>
            </a:spcBef>
            <a:spcAft>
              <a:spcPct val="15000"/>
            </a:spcAft>
            <a:buChar char="••"/>
          </a:pPr>
          <a:r>
            <a:rPr lang="en-US" sz="900" kern="1200"/>
            <a:t>exemplify the best values of society</a:t>
          </a:r>
        </a:p>
        <a:p>
          <a:pPr marL="114300" lvl="2" indent="-57150" algn="l" defTabSz="400050">
            <a:lnSpc>
              <a:spcPct val="90000"/>
            </a:lnSpc>
            <a:spcBef>
              <a:spcPct val="0"/>
            </a:spcBef>
            <a:spcAft>
              <a:spcPct val="15000"/>
            </a:spcAft>
            <a:buChar char="••"/>
          </a:pPr>
          <a:r>
            <a:rPr lang="en-US" sz="900" kern="1200"/>
            <a:t>be effective in improving the character and quality of the world about them</a:t>
          </a:r>
        </a:p>
        <a:p>
          <a:pPr marL="57150" lvl="1" indent="-57150" algn="l" defTabSz="400050">
            <a:lnSpc>
              <a:spcPct val="90000"/>
            </a:lnSpc>
            <a:spcBef>
              <a:spcPct val="0"/>
            </a:spcBef>
            <a:spcAft>
              <a:spcPct val="15000"/>
            </a:spcAft>
            <a:buChar char="••"/>
          </a:pPr>
          <a:endParaRPr lang="en-US" sz="900" kern="1200"/>
        </a:p>
      </dsp:txBody>
      <dsp:txXfrm>
        <a:off x="4671129" y="668271"/>
        <a:ext cx="892651" cy="31520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1DBE2C-DD27-49BE-A0DE-9C141D57F6AF}">
      <dsp:nvSpPr>
        <dsp:cNvPr id="0" name=""/>
        <dsp:cNvSpPr/>
      </dsp:nvSpPr>
      <dsp:spPr>
        <a:xfrm>
          <a:off x="-1977104" y="-306519"/>
          <a:ext cx="2363734" cy="2363734"/>
        </a:xfrm>
        <a:prstGeom prst="blockArc">
          <a:avLst>
            <a:gd name="adj1" fmla="val 18900000"/>
            <a:gd name="adj2" fmla="val 2700000"/>
            <a:gd name="adj3" fmla="val 914"/>
          </a:avLst>
        </a:pr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33589-CE26-4210-9E75-BC33CF05B523}">
      <dsp:nvSpPr>
        <dsp:cNvPr id="0" name=""/>
        <dsp:cNvSpPr/>
      </dsp:nvSpPr>
      <dsp:spPr>
        <a:xfrm>
          <a:off x="248505" y="175069"/>
          <a:ext cx="2733218" cy="350139"/>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Help Alaska educators grow professionally</a:t>
          </a:r>
        </a:p>
      </dsp:txBody>
      <dsp:txXfrm>
        <a:off x="248505" y="175069"/>
        <a:ext cx="2733218" cy="350139"/>
      </dsp:txXfrm>
    </dsp:sp>
    <dsp:sp modelId="{C10D1C52-14C3-491D-95E3-9B9EB9F3D62D}">
      <dsp:nvSpPr>
        <dsp:cNvPr id="0" name=""/>
        <dsp:cNvSpPr/>
      </dsp:nvSpPr>
      <dsp:spPr>
        <a:xfrm>
          <a:off x="29668" y="131302"/>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5CBC2E-DF30-44A7-BD9F-2446CB055DD6}">
      <dsp:nvSpPr>
        <dsp:cNvPr id="0" name=""/>
        <dsp:cNvSpPr/>
      </dsp:nvSpPr>
      <dsp:spPr>
        <a:xfrm>
          <a:off x="375781" y="700278"/>
          <a:ext cx="2605943" cy="350139"/>
        </a:xfrm>
        <a:prstGeom prst="rec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Improve the effectiveness of instruction</a:t>
          </a:r>
        </a:p>
      </dsp:txBody>
      <dsp:txXfrm>
        <a:off x="375781" y="700278"/>
        <a:ext cx="2605943" cy="350139"/>
      </dsp:txXfrm>
    </dsp:sp>
    <dsp:sp modelId="{4A99BE45-105A-4B4B-9CA5-C7AF70211D57}">
      <dsp:nvSpPr>
        <dsp:cNvPr id="0" name=""/>
        <dsp:cNvSpPr/>
      </dsp:nvSpPr>
      <dsp:spPr>
        <a:xfrm>
          <a:off x="156944" y="656510"/>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sp>
    <dsp:sp modelId="{FDADF450-4A34-491C-A1C3-3E58AE107C50}">
      <dsp:nvSpPr>
        <dsp:cNvPr id="0" name=""/>
        <dsp:cNvSpPr/>
      </dsp:nvSpPr>
      <dsp:spPr>
        <a:xfrm>
          <a:off x="248505" y="1225486"/>
          <a:ext cx="2733218" cy="350139"/>
        </a:xfrm>
        <a:prstGeom prst="rec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Future employment of the educator</a:t>
          </a:r>
        </a:p>
      </dsp:txBody>
      <dsp:txXfrm>
        <a:off x="248505" y="1225486"/>
        <a:ext cx="2733218" cy="350139"/>
      </dsp:txXfrm>
    </dsp:sp>
    <dsp:sp modelId="{D328BB86-9815-44B7-8DE1-04A09276C7E4}">
      <dsp:nvSpPr>
        <dsp:cNvPr id="0" name=""/>
        <dsp:cNvSpPr/>
      </dsp:nvSpPr>
      <dsp:spPr>
        <a:xfrm>
          <a:off x="29668" y="1181719"/>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C655C6-2CD7-4675-B8FE-CCEC5EC41FA9}">
      <dsp:nvSpPr>
        <dsp:cNvPr id="0" name=""/>
        <dsp:cNvSpPr/>
      </dsp:nvSpPr>
      <dsp:spPr>
        <a:xfrm>
          <a:off x="0" y="139490"/>
          <a:ext cx="1079160" cy="2867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IF</a:t>
          </a:r>
        </a:p>
      </dsp:txBody>
      <dsp:txXfrm>
        <a:off x="8398" y="147888"/>
        <a:ext cx="1062364" cy="269922"/>
      </dsp:txXfrm>
    </dsp:sp>
    <dsp:sp modelId="{2686EB17-C2CB-48AE-B354-D39CD0B1A1C1}">
      <dsp:nvSpPr>
        <dsp:cNvPr id="0" name=""/>
        <dsp:cNvSpPr/>
      </dsp:nvSpPr>
      <dsp:spPr>
        <a:xfrm>
          <a:off x="107916" y="426208"/>
          <a:ext cx="108919" cy="470914"/>
        </a:xfrm>
        <a:custGeom>
          <a:avLst/>
          <a:gdLst/>
          <a:ahLst/>
          <a:cxnLst/>
          <a:rect l="0" t="0" r="0" b="0"/>
          <a:pathLst>
            <a:path>
              <a:moveTo>
                <a:pt x="0" y="0"/>
              </a:moveTo>
              <a:lnTo>
                <a:pt x="0" y="470914"/>
              </a:lnTo>
              <a:lnTo>
                <a:pt x="108919" y="470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A1948-BD12-450D-A6B8-E228679157A7}">
      <dsp:nvSpPr>
        <dsp:cNvPr id="0" name=""/>
        <dsp:cNvSpPr/>
      </dsp:nvSpPr>
      <dsp:spPr>
        <a:xfrm>
          <a:off x="216835" y="583180"/>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Alaska</a:t>
          </a:r>
        </a:p>
      </dsp:txBody>
      <dsp:txXfrm>
        <a:off x="235225" y="601570"/>
        <a:ext cx="967838" cy="591106"/>
      </dsp:txXfrm>
    </dsp:sp>
    <dsp:sp modelId="{D282ACB2-0DF4-4D64-A28D-2BD32A5F1992}">
      <dsp:nvSpPr>
        <dsp:cNvPr id="0" name=""/>
        <dsp:cNvSpPr/>
      </dsp:nvSpPr>
      <dsp:spPr>
        <a:xfrm>
          <a:off x="107916" y="426208"/>
          <a:ext cx="108919" cy="1382448"/>
        </a:xfrm>
        <a:custGeom>
          <a:avLst/>
          <a:gdLst/>
          <a:ahLst/>
          <a:cxnLst/>
          <a:rect l="0" t="0" r="0" b="0"/>
          <a:pathLst>
            <a:path>
              <a:moveTo>
                <a:pt x="0" y="0"/>
              </a:moveTo>
              <a:lnTo>
                <a:pt x="0" y="1382448"/>
              </a:lnTo>
              <a:lnTo>
                <a:pt x="108919" y="13824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A91E1-72F9-4E80-80BB-2913DDE6FB27}">
      <dsp:nvSpPr>
        <dsp:cNvPr id="0" name=""/>
        <dsp:cNvSpPr/>
      </dsp:nvSpPr>
      <dsp:spPr>
        <a:xfrm>
          <a:off x="216835" y="1403407"/>
          <a:ext cx="1004618" cy="8105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Comprehensive approach to continuous improvement</a:t>
          </a:r>
        </a:p>
      </dsp:txBody>
      <dsp:txXfrm>
        <a:off x="240574" y="1427146"/>
        <a:ext cx="957140" cy="763022"/>
      </dsp:txXfrm>
    </dsp:sp>
    <dsp:sp modelId="{D1C9246E-CF15-4761-B868-09C8508F0F5B}">
      <dsp:nvSpPr>
        <dsp:cNvPr id="0" name=""/>
        <dsp:cNvSpPr/>
      </dsp:nvSpPr>
      <dsp:spPr>
        <a:xfrm>
          <a:off x="1280937" y="432242"/>
          <a:ext cx="1011776" cy="325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1290469" y="441774"/>
        <a:ext cx="992712" cy="306382"/>
      </dsp:txXfrm>
    </dsp:sp>
    <dsp:sp modelId="{33565416-1F76-4D72-83E1-C50378918FD2}">
      <dsp:nvSpPr>
        <dsp:cNvPr id="0" name=""/>
        <dsp:cNvSpPr/>
      </dsp:nvSpPr>
      <dsp:spPr>
        <a:xfrm>
          <a:off x="1382115" y="757688"/>
          <a:ext cx="108240" cy="506283"/>
        </a:xfrm>
        <a:custGeom>
          <a:avLst/>
          <a:gdLst/>
          <a:ahLst/>
          <a:cxnLst/>
          <a:rect l="0" t="0" r="0" b="0"/>
          <a:pathLst>
            <a:path>
              <a:moveTo>
                <a:pt x="0" y="0"/>
              </a:moveTo>
              <a:lnTo>
                <a:pt x="0" y="506283"/>
              </a:lnTo>
              <a:lnTo>
                <a:pt x="108240" y="506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136951-74A4-4F25-B76C-B519988F382E}">
      <dsp:nvSpPr>
        <dsp:cNvPr id="0" name=""/>
        <dsp:cNvSpPr/>
      </dsp:nvSpPr>
      <dsp:spPr>
        <a:xfrm>
          <a:off x="1490355" y="950029"/>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Districts</a:t>
          </a:r>
        </a:p>
      </dsp:txBody>
      <dsp:txXfrm>
        <a:off x="1508745" y="968419"/>
        <a:ext cx="967838" cy="591106"/>
      </dsp:txXfrm>
    </dsp:sp>
    <dsp:sp modelId="{6D6CE714-8D9C-43A9-BF9A-BE974D03CB45}">
      <dsp:nvSpPr>
        <dsp:cNvPr id="0" name=""/>
        <dsp:cNvSpPr/>
      </dsp:nvSpPr>
      <dsp:spPr>
        <a:xfrm>
          <a:off x="1382115" y="757688"/>
          <a:ext cx="107818" cy="1376232"/>
        </a:xfrm>
        <a:custGeom>
          <a:avLst/>
          <a:gdLst/>
          <a:ahLst/>
          <a:cxnLst/>
          <a:rect l="0" t="0" r="0" b="0"/>
          <a:pathLst>
            <a:path>
              <a:moveTo>
                <a:pt x="0" y="0"/>
              </a:moveTo>
              <a:lnTo>
                <a:pt x="0" y="1376232"/>
              </a:lnTo>
              <a:lnTo>
                <a:pt x="107818" y="13762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5EE1E1-7A5E-4BCC-B9B0-8E73CFB38883}">
      <dsp:nvSpPr>
        <dsp:cNvPr id="0" name=""/>
        <dsp:cNvSpPr/>
      </dsp:nvSpPr>
      <dsp:spPr>
        <a:xfrm>
          <a:off x="1489933" y="1819978"/>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Recruit, retain, and develop excellent teachers</a:t>
          </a:r>
        </a:p>
      </dsp:txBody>
      <dsp:txXfrm>
        <a:off x="1508323" y="1838368"/>
        <a:ext cx="967838" cy="591106"/>
      </dsp:txXfrm>
    </dsp:sp>
    <dsp:sp modelId="{237E394F-AE3E-41AF-BCFF-8CCBD774FADE}">
      <dsp:nvSpPr>
        <dsp:cNvPr id="0" name=""/>
        <dsp:cNvSpPr/>
      </dsp:nvSpPr>
      <dsp:spPr>
        <a:xfrm>
          <a:off x="2607699" y="722075"/>
          <a:ext cx="999808" cy="3278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2617303" y="731679"/>
        <a:ext cx="980600" cy="308686"/>
      </dsp:txXfrm>
    </dsp:sp>
    <dsp:sp modelId="{91A2D1C7-5BE9-4249-A35E-EFBAF5A3A57B}">
      <dsp:nvSpPr>
        <dsp:cNvPr id="0" name=""/>
        <dsp:cNvSpPr/>
      </dsp:nvSpPr>
      <dsp:spPr>
        <a:xfrm>
          <a:off x="2707679" y="1049970"/>
          <a:ext cx="107045" cy="499207"/>
        </a:xfrm>
        <a:custGeom>
          <a:avLst/>
          <a:gdLst/>
          <a:ahLst/>
          <a:cxnLst/>
          <a:rect l="0" t="0" r="0" b="0"/>
          <a:pathLst>
            <a:path>
              <a:moveTo>
                <a:pt x="0" y="0"/>
              </a:moveTo>
              <a:lnTo>
                <a:pt x="0" y="499207"/>
              </a:lnTo>
              <a:lnTo>
                <a:pt x="107045" y="499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286F5-B550-45BA-B8F0-566343E6A42C}">
      <dsp:nvSpPr>
        <dsp:cNvPr id="0" name=""/>
        <dsp:cNvSpPr/>
      </dsp:nvSpPr>
      <dsp:spPr>
        <a:xfrm>
          <a:off x="2814725" y="1235234"/>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Schools</a:t>
          </a:r>
        </a:p>
      </dsp:txBody>
      <dsp:txXfrm>
        <a:off x="2833115" y="1253624"/>
        <a:ext cx="967838" cy="591106"/>
      </dsp:txXfrm>
    </dsp:sp>
    <dsp:sp modelId="{F33E3944-C848-4FB0-8E79-3BC45BC9AE3F}">
      <dsp:nvSpPr>
        <dsp:cNvPr id="0" name=""/>
        <dsp:cNvSpPr/>
      </dsp:nvSpPr>
      <dsp:spPr>
        <a:xfrm>
          <a:off x="2707679" y="1049970"/>
          <a:ext cx="128795" cy="1328444"/>
        </a:xfrm>
        <a:custGeom>
          <a:avLst/>
          <a:gdLst/>
          <a:ahLst/>
          <a:cxnLst/>
          <a:rect l="0" t="0" r="0" b="0"/>
          <a:pathLst>
            <a:path>
              <a:moveTo>
                <a:pt x="0" y="0"/>
              </a:moveTo>
              <a:lnTo>
                <a:pt x="0" y="1328444"/>
              </a:lnTo>
              <a:lnTo>
                <a:pt x="128795" y="13284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316B-78D8-4457-9B24-4976DF138DBA}">
      <dsp:nvSpPr>
        <dsp:cNvPr id="0" name=""/>
        <dsp:cNvSpPr/>
      </dsp:nvSpPr>
      <dsp:spPr>
        <a:xfrm>
          <a:off x="2836475" y="2064471"/>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Equitable access to excellent teaching</a:t>
          </a:r>
        </a:p>
      </dsp:txBody>
      <dsp:txXfrm>
        <a:off x="2854865" y="2082861"/>
        <a:ext cx="967838" cy="591106"/>
      </dsp:txXfrm>
    </dsp:sp>
    <dsp:sp modelId="{C697B107-9532-4759-A1EE-824A1897ADA2}">
      <dsp:nvSpPr>
        <dsp:cNvPr id="0" name=""/>
        <dsp:cNvSpPr/>
      </dsp:nvSpPr>
      <dsp:spPr>
        <a:xfrm>
          <a:off x="3960173" y="1064066"/>
          <a:ext cx="874193" cy="3257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3969714" y="1073607"/>
        <a:ext cx="855111" cy="306665"/>
      </dsp:txXfrm>
    </dsp:sp>
    <dsp:sp modelId="{AA62AC86-6EDD-47D8-86F0-56DF75824F4B}">
      <dsp:nvSpPr>
        <dsp:cNvPr id="0" name=""/>
        <dsp:cNvSpPr/>
      </dsp:nvSpPr>
      <dsp:spPr>
        <a:xfrm>
          <a:off x="4047593" y="1389813"/>
          <a:ext cx="168353" cy="457330"/>
        </a:xfrm>
        <a:custGeom>
          <a:avLst/>
          <a:gdLst/>
          <a:ahLst/>
          <a:cxnLst/>
          <a:rect l="0" t="0" r="0" b="0"/>
          <a:pathLst>
            <a:path>
              <a:moveTo>
                <a:pt x="0" y="0"/>
              </a:moveTo>
              <a:lnTo>
                <a:pt x="0" y="457330"/>
              </a:lnTo>
              <a:lnTo>
                <a:pt x="168353" y="457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90E6ED-BBBE-40B8-9A6A-F53A91358CF5}">
      <dsp:nvSpPr>
        <dsp:cNvPr id="0" name=""/>
        <dsp:cNvSpPr/>
      </dsp:nvSpPr>
      <dsp:spPr>
        <a:xfrm>
          <a:off x="4215946" y="1579730"/>
          <a:ext cx="855723" cy="5348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Students</a:t>
          </a:r>
        </a:p>
      </dsp:txBody>
      <dsp:txXfrm>
        <a:off x="4231611" y="1595395"/>
        <a:ext cx="824393" cy="503497"/>
      </dsp:txXfrm>
    </dsp:sp>
    <dsp:sp modelId="{02457298-A258-4F94-9757-B1F33E1C1A80}">
      <dsp:nvSpPr>
        <dsp:cNvPr id="0" name=""/>
        <dsp:cNvSpPr/>
      </dsp:nvSpPr>
      <dsp:spPr>
        <a:xfrm>
          <a:off x="4047593" y="1389813"/>
          <a:ext cx="149326" cy="1217346"/>
        </a:xfrm>
        <a:custGeom>
          <a:avLst/>
          <a:gdLst/>
          <a:ahLst/>
          <a:cxnLst/>
          <a:rect l="0" t="0" r="0" b="0"/>
          <a:pathLst>
            <a:path>
              <a:moveTo>
                <a:pt x="0" y="0"/>
              </a:moveTo>
              <a:lnTo>
                <a:pt x="0" y="1217346"/>
              </a:lnTo>
              <a:lnTo>
                <a:pt x="149326" y="121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9D061-68C4-406E-835F-0B440281767F}">
      <dsp:nvSpPr>
        <dsp:cNvPr id="0" name=""/>
        <dsp:cNvSpPr/>
      </dsp:nvSpPr>
      <dsp:spPr>
        <a:xfrm>
          <a:off x="4196919" y="2329376"/>
          <a:ext cx="888906" cy="55556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Higher levels of college- and career readiness for all students</a:t>
          </a:r>
        </a:p>
      </dsp:txBody>
      <dsp:txXfrm>
        <a:off x="4213191" y="2345648"/>
        <a:ext cx="856362" cy="5230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4D632-250A-45C2-BFEE-3D9D8849B60C}">
      <dsp:nvSpPr>
        <dsp:cNvPr id="0" name=""/>
        <dsp:cNvSpPr/>
      </dsp:nvSpPr>
      <dsp:spPr>
        <a:xfrm>
          <a:off x="1358503" y="73598"/>
          <a:ext cx="2691827" cy="2611238"/>
        </a:xfrm>
        <a:prstGeom prst="ellipse">
          <a:avLst/>
        </a:prstGeom>
        <a:solidFill>
          <a:srgbClr val="E4CDEB">
            <a:alpha val="4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Awareness</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Public Reporting of Disproportionate Access</a:t>
          </a:r>
        </a:p>
        <a:p>
          <a:pPr lvl="0" algn="ctr" defTabSz="444500">
            <a:lnSpc>
              <a:spcPct val="90000"/>
            </a:lnSpc>
            <a:spcBef>
              <a:spcPct val="0"/>
            </a:spcBef>
            <a:spcAft>
              <a:spcPct val="35000"/>
            </a:spcAft>
          </a:pPr>
          <a:r>
            <a:rPr lang="en-US" sz="1000" kern="1200"/>
            <a:t>Ongoing Data Collection and Analysis</a:t>
          </a:r>
        </a:p>
      </dsp:txBody>
      <dsp:txXfrm>
        <a:off x="1669098" y="425111"/>
        <a:ext cx="2070636" cy="828566"/>
      </dsp:txXfrm>
    </dsp:sp>
    <dsp:sp modelId="{62ED447F-AFD4-453B-B12A-93FE8F113084}">
      <dsp:nvSpPr>
        <dsp:cNvPr id="0" name=""/>
        <dsp:cNvSpPr/>
      </dsp:nvSpPr>
      <dsp:spPr>
        <a:xfrm>
          <a:off x="2544507" y="1252528"/>
          <a:ext cx="2656472" cy="2619775"/>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Recruitment </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Identification and mitigation of certification barriers </a:t>
          </a:r>
        </a:p>
        <a:p>
          <a:pPr lvl="0" algn="ctr" defTabSz="444500">
            <a:lnSpc>
              <a:spcPct val="90000"/>
            </a:lnSpc>
            <a:spcBef>
              <a:spcPct val="0"/>
            </a:spcBef>
            <a:spcAft>
              <a:spcPct val="35000"/>
            </a:spcAft>
          </a:pPr>
          <a:r>
            <a:rPr lang="en-US" sz="1000" kern="1200"/>
            <a:t>Examination of existing recruitment and hiring efforts for efficacy</a:t>
          </a:r>
        </a:p>
      </dsp:txBody>
      <dsp:txXfrm>
        <a:off x="3974915" y="1554810"/>
        <a:ext cx="1021720" cy="2015211"/>
      </dsp:txXfrm>
    </dsp:sp>
    <dsp:sp modelId="{A6FF9BFE-FCFC-417F-AE3C-000B8A90576D}">
      <dsp:nvSpPr>
        <dsp:cNvPr id="0" name=""/>
        <dsp:cNvSpPr/>
      </dsp:nvSpPr>
      <dsp:spPr>
        <a:xfrm>
          <a:off x="1298087" y="2411673"/>
          <a:ext cx="2692874" cy="2669922"/>
        </a:xfrm>
        <a:prstGeom prst="ellipse">
          <a:avLst/>
        </a:prstGeom>
        <a:solidFill>
          <a:srgbClr val="FFCCFF">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Support</a:t>
          </a:r>
        </a:p>
        <a:p>
          <a:pPr lvl="0" algn="ctr" defTabSz="444500">
            <a:lnSpc>
              <a:spcPct val="90000"/>
            </a:lnSpc>
            <a:spcBef>
              <a:spcPct val="0"/>
            </a:spcBef>
            <a:spcAft>
              <a:spcPct val="35000"/>
            </a:spcAft>
          </a:pPr>
          <a:endParaRPr lang="en-US" sz="1000" b="0" kern="1200"/>
        </a:p>
        <a:p>
          <a:pPr lvl="0" algn="ctr" defTabSz="444500">
            <a:lnSpc>
              <a:spcPct val="90000"/>
            </a:lnSpc>
            <a:spcBef>
              <a:spcPct val="0"/>
            </a:spcBef>
            <a:spcAft>
              <a:spcPct val="35000"/>
            </a:spcAft>
          </a:pPr>
          <a:r>
            <a:rPr lang="en-US" sz="1000" b="0" kern="1200"/>
            <a:t>Continued coordination with </a:t>
          </a:r>
          <a:br>
            <a:rPr lang="en-US" sz="1000" b="0" kern="1200"/>
          </a:br>
          <a:r>
            <a:rPr lang="en-US" sz="1000" b="0" kern="1200"/>
            <a:t>ASMP and SSOS</a:t>
          </a:r>
        </a:p>
        <a:p>
          <a:pPr lvl="0" algn="ctr" defTabSz="444500">
            <a:lnSpc>
              <a:spcPct val="90000"/>
            </a:lnSpc>
            <a:spcBef>
              <a:spcPct val="0"/>
            </a:spcBef>
            <a:spcAft>
              <a:spcPct val="35000"/>
            </a:spcAft>
          </a:pPr>
          <a:r>
            <a:rPr lang="en-US" sz="1000" b="0" kern="1200"/>
            <a:t>Oversight of districts' EES systems</a:t>
          </a:r>
        </a:p>
      </dsp:txBody>
      <dsp:txXfrm>
        <a:off x="1608804" y="3874996"/>
        <a:ext cx="2071442" cy="847186"/>
      </dsp:txXfrm>
    </dsp:sp>
    <dsp:sp modelId="{C9F0B2E8-F581-426E-9D63-EDC151536B16}">
      <dsp:nvSpPr>
        <dsp:cNvPr id="0" name=""/>
        <dsp:cNvSpPr/>
      </dsp:nvSpPr>
      <dsp:spPr>
        <a:xfrm>
          <a:off x="164700" y="1277534"/>
          <a:ext cx="2615641" cy="256482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Preparation </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Support of Alaska's </a:t>
          </a:r>
          <a:br>
            <a:rPr lang="en-US" sz="1000" kern="1200"/>
          </a:br>
          <a:r>
            <a:rPr lang="en-US" sz="1000" kern="1200"/>
            <a:t>Educators Rising, PITAS, and ANSEP</a:t>
          </a:r>
        </a:p>
        <a:p>
          <a:pPr lvl="0" algn="ctr" defTabSz="444500">
            <a:lnSpc>
              <a:spcPct val="90000"/>
            </a:lnSpc>
            <a:spcBef>
              <a:spcPct val="0"/>
            </a:spcBef>
            <a:spcAft>
              <a:spcPct val="35000"/>
            </a:spcAft>
          </a:pPr>
          <a:r>
            <a:rPr lang="en-US" sz="1000" kern="1200"/>
            <a:t>Collaboration with </a:t>
          </a:r>
          <a:br>
            <a:rPr lang="en-US" sz="1000" kern="1200"/>
          </a:br>
          <a:r>
            <a:rPr lang="en-US" sz="1000" kern="1200"/>
            <a:t>Alaska Universities and Colleges</a:t>
          </a:r>
        </a:p>
      </dsp:txBody>
      <dsp:txXfrm>
        <a:off x="365903" y="1573476"/>
        <a:ext cx="1006015" cy="19729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44F9B-F74A-4043-B931-DD57FC144328}">
      <dsp:nvSpPr>
        <dsp:cNvPr id="0" name=""/>
        <dsp:cNvSpPr/>
      </dsp:nvSpPr>
      <dsp:spPr>
        <a:xfrm>
          <a:off x="749918" y="74413"/>
          <a:ext cx="4159210"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1: Awareness</a:t>
          </a:r>
          <a:endParaRPr lang="en-US" sz="1100" kern="1200" dirty="0"/>
        </a:p>
      </dsp:txBody>
      <dsp:txXfrm>
        <a:off x="749918" y="225848"/>
        <a:ext cx="4007775" cy="302869"/>
      </dsp:txXfrm>
    </dsp:sp>
    <dsp:sp modelId="{A3BBADC0-D91D-487B-9E99-8165DA5F9CD6}">
      <dsp:nvSpPr>
        <dsp:cNvPr id="0" name=""/>
        <dsp:cNvSpPr/>
      </dsp:nvSpPr>
      <dsp:spPr>
        <a:xfrm>
          <a:off x="757612" y="520195"/>
          <a:ext cx="1293578" cy="78283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Share the Alaska Equity Plan with stakeholders to allow further engagement and improvement.</a:t>
          </a:r>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a:p>
      </dsp:txBody>
      <dsp:txXfrm>
        <a:off x="757612" y="520195"/>
        <a:ext cx="1293578" cy="782834"/>
      </dsp:txXfrm>
    </dsp:sp>
    <dsp:sp modelId="{44E1C2A8-3B65-4866-92DB-7B0F93ACECA6}">
      <dsp:nvSpPr>
        <dsp:cNvPr id="0" name=""/>
        <dsp:cNvSpPr/>
      </dsp:nvSpPr>
      <dsp:spPr>
        <a:xfrm>
          <a:off x="2052541" y="276326"/>
          <a:ext cx="2878173"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2: Support</a:t>
          </a:r>
          <a:endParaRPr lang="en-US" sz="1100" kern="1200" dirty="0"/>
        </a:p>
      </dsp:txBody>
      <dsp:txXfrm>
        <a:off x="2052541" y="427761"/>
        <a:ext cx="2726738" cy="302869"/>
      </dsp:txXfrm>
    </dsp:sp>
    <dsp:sp modelId="{A99357D9-1E16-46C6-A2BB-E7548DFE433E}">
      <dsp:nvSpPr>
        <dsp:cNvPr id="0" name=""/>
        <dsp:cNvSpPr/>
      </dsp:nvSpPr>
      <dsp:spPr>
        <a:xfrm>
          <a:off x="2058799" y="716460"/>
          <a:ext cx="1323964" cy="746591"/>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Support the districts </a:t>
          </a:r>
          <a:r>
            <a:rPr lang="en-US" sz="1000" kern="1200" dirty="0" smtClean="0">
              <a:solidFill>
                <a:sysClr val="windowText" lastClr="000000"/>
              </a:solidFill>
            </a:rPr>
            <a:t>identified</a:t>
          </a:r>
          <a:r>
            <a:rPr lang="en-US" sz="1000" kern="1200" dirty="0" smtClean="0"/>
            <a:t> with challenges in equitable access to effective teachers</a:t>
          </a:r>
          <a:r>
            <a:rPr lang="en-US" sz="1200" kern="1200" dirty="0" smtClean="0"/>
            <a:t>. </a:t>
          </a:r>
          <a:endParaRPr lang="en-US" sz="1200" kern="1200" dirty="0"/>
        </a:p>
      </dsp:txBody>
      <dsp:txXfrm>
        <a:off x="2058799" y="716460"/>
        <a:ext cx="1323964" cy="746591"/>
      </dsp:txXfrm>
    </dsp:sp>
    <dsp:sp modelId="{3A2EAD57-8B80-42F1-9B00-50D483FFFC9D}">
      <dsp:nvSpPr>
        <dsp:cNvPr id="0" name=""/>
        <dsp:cNvSpPr/>
      </dsp:nvSpPr>
      <dsp:spPr>
        <a:xfrm>
          <a:off x="3333578" y="478239"/>
          <a:ext cx="1597136"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3: Review</a:t>
          </a:r>
          <a:endParaRPr lang="en-US" sz="1100" kern="1200" dirty="0"/>
        </a:p>
      </dsp:txBody>
      <dsp:txXfrm>
        <a:off x="3333578" y="629674"/>
        <a:ext cx="1445701" cy="302869"/>
      </dsp:txXfrm>
    </dsp:sp>
    <dsp:sp modelId="{7D1C003E-CF92-4F85-AA82-921FE10CE470}">
      <dsp:nvSpPr>
        <dsp:cNvPr id="0" name=""/>
        <dsp:cNvSpPr/>
      </dsp:nvSpPr>
      <dsp:spPr>
        <a:xfrm>
          <a:off x="3382597" y="934797"/>
          <a:ext cx="1246333" cy="870858"/>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Analyze the implementation of the Alaska Equity Plan and make improvements as needed.</a:t>
          </a:r>
          <a:endParaRPr lang="en-US" sz="1000" kern="1200" dirty="0"/>
        </a:p>
      </dsp:txBody>
      <dsp:txXfrm>
        <a:off x="3382597" y="934797"/>
        <a:ext cx="1246333" cy="87085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7FA0-11D8-4410-AD1E-93E0435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39353</Words>
  <Characters>224318</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263145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Sondra L (EED)</dc:creator>
  <cp:keywords/>
  <dc:description/>
  <cp:lastModifiedBy>O'Dell, Matthew B (DOR)</cp:lastModifiedBy>
  <cp:revision>2</cp:revision>
  <cp:lastPrinted>2018-04-12T18:58:00Z</cp:lastPrinted>
  <dcterms:created xsi:type="dcterms:W3CDTF">2019-07-15T17:54:00Z</dcterms:created>
  <dcterms:modified xsi:type="dcterms:W3CDTF">2019-07-15T17:54:00Z</dcterms:modified>
</cp:coreProperties>
</file>