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FB" w:rsidRDefault="00A467F3" w:rsidP="00A467F3">
      <w:pPr>
        <w:shd w:val="clear" w:color="auto" w:fill="8064A2" w:themeFill="accent4"/>
        <w:spacing w:after="0" w:line="240" w:lineRule="auto"/>
        <w:jc w:val="center"/>
        <w:rPr>
          <w:color w:val="FFFFFF" w:themeColor="background1"/>
          <w:sz w:val="36"/>
        </w:rPr>
      </w:pPr>
      <w:r>
        <w:rPr>
          <w:color w:val="FFFFFF" w:themeColor="background1"/>
          <w:sz w:val="36"/>
        </w:rPr>
        <w:t>Alaska Computer Science &amp; Digital Literacy Standards</w:t>
      </w:r>
      <w:r w:rsidR="00534AD8">
        <w:rPr>
          <w:color w:val="FFFFFF" w:themeColor="background1"/>
          <w:sz w:val="36"/>
        </w:rPr>
        <w:br/>
        <w:t>Phase Placement Survey</w:t>
      </w:r>
    </w:p>
    <w:p w:rsidR="00534AD8" w:rsidRDefault="00534AD8" w:rsidP="00534AD8">
      <w:pPr>
        <w:spacing w:before="40" w:after="0"/>
        <w:rPr>
          <w:b/>
          <w:sz w:val="28"/>
        </w:rPr>
      </w:pPr>
      <w:r w:rsidRPr="00E41978">
        <w:rPr>
          <w:b/>
          <w:sz w:val="28"/>
        </w:rPr>
        <w:t>Awareness Phase Goal:</w:t>
      </w:r>
    </w:p>
    <w:p w:rsidR="00534AD8" w:rsidRPr="00F65E3F" w:rsidRDefault="00534AD8" w:rsidP="00534AD8">
      <w:pPr>
        <w:spacing w:after="0"/>
        <w:rPr>
          <w:b/>
          <w:sz w:val="12"/>
          <w:szCs w:val="12"/>
        </w:rPr>
      </w:pPr>
    </w:p>
    <w:p w:rsidR="00534AD8" w:rsidRDefault="00A467F3" w:rsidP="00534AD8">
      <w:pPr>
        <w:pStyle w:val="ListParagraph"/>
        <w:numPr>
          <w:ilvl w:val="0"/>
          <w:numId w:val="1"/>
        </w:numPr>
        <w:spacing w:after="0" w:line="259" w:lineRule="auto"/>
        <w:contextualSpacing w:val="0"/>
      </w:pPr>
      <w:r>
        <w:t>All district leaders and teachers understand the rationale for new standards, language, and structure of the Alaska Computer Science Standards and the Alaska Digital Literacy Standards</w:t>
      </w:r>
      <w:r w:rsidR="00534AD8">
        <w:t>.</w:t>
      </w:r>
    </w:p>
    <w:p w:rsidR="00534AD8" w:rsidRPr="00F65E3F" w:rsidRDefault="00534AD8" w:rsidP="00534AD8">
      <w:pPr>
        <w:pStyle w:val="ListParagraph"/>
        <w:spacing w:after="0" w:line="259" w:lineRule="auto"/>
        <w:contextualSpacing w:val="0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eps for Awareness"/>
        <w:tblDescription w:val="Checklist table for completing awareness steps"/>
      </w:tblPr>
      <w:tblGrid>
        <w:gridCol w:w="7105"/>
        <w:gridCol w:w="561"/>
        <w:gridCol w:w="561"/>
        <w:gridCol w:w="561"/>
        <w:gridCol w:w="562"/>
      </w:tblGrid>
      <w:tr w:rsidR="00534AD8" w:rsidTr="00A467F3">
        <w:trPr>
          <w:cantSplit/>
          <w:trHeight w:val="2438"/>
          <w:tblHeader/>
        </w:trPr>
        <w:tc>
          <w:tcPr>
            <w:tcW w:w="7105" w:type="dxa"/>
            <w:shd w:val="clear" w:color="auto" w:fill="E5DFEC" w:themeFill="accent4" w:themeFillTint="33"/>
            <w:vAlign w:val="bottom"/>
          </w:tcPr>
          <w:p w:rsidR="00534AD8" w:rsidRPr="00534AD8" w:rsidRDefault="00534AD8" w:rsidP="00534AD8">
            <w:pPr>
              <w:spacing w:line="259" w:lineRule="auto"/>
              <w:rPr>
                <w:b/>
              </w:rPr>
            </w:pPr>
            <w:r w:rsidRPr="00534AD8">
              <w:rPr>
                <w:b/>
                <w:sz w:val="28"/>
              </w:rPr>
              <w:t>Steps for Awareness Phase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561" w:type="dxa"/>
            <w:shd w:val="clear" w:color="auto" w:fill="E5DFEC" w:themeFill="accent4" w:themeFillTint="33"/>
            <w:textDirection w:val="btLr"/>
          </w:tcPr>
          <w:p w:rsidR="00534AD8" w:rsidRDefault="00534AD8" w:rsidP="00534AD8">
            <w:pPr>
              <w:spacing w:line="259" w:lineRule="auto"/>
              <w:ind w:left="113" w:right="113"/>
              <w:rPr>
                <w:color w:val="FFFFFF" w:themeColor="background1"/>
                <w:sz w:val="24"/>
              </w:rPr>
            </w:pPr>
            <w:r>
              <w:rPr>
                <w:b/>
              </w:rPr>
              <w:t>Have N</w:t>
            </w:r>
            <w:r w:rsidRPr="00E11C3C">
              <w:rPr>
                <w:b/>
              </w:rPr>
              <w:t>ot Begun</w:t>
            </w:r>
          </w:p>
        </w:tc>
        <w:tc>
          <w:tcPr>
            <w:tcW w:w="561" w:type="dxa"/>
            <w:shd w:val="clear" w:color="auto" w:fill="E5DFEC" w:themeFill="accent4" w:themeFillTint="33"/>
            <w:textDirection w:val="btLr"/>
          </w:tcPr>
          <w:p w:rsidR="00534AD8" w:rsidRDefault="00534AD8" w:rsidP="00534AD8">
            <w:pPr>
              <w:spacing w:line="259" w:lineRule="auto"/>
              <w:ind w:left="113" w:right="113"/>
              <w:rPr>
                <w:color w:val="FFFFFF" w:themeColor="background1"/>
                <w:sz w:val="24"/>
              </w:rPr>
            </w:pPr>
            <w:r w:rsidRPr="00E11C3C">
              <w:rPr>
                <w:b/>
              </w:rPr>
              <w:t>Just Under</w:t>
            </w:r>
            <w:r>
              <w:rPr>
                <w:b/>
              </w:rPr>
              <w:t xml:space="preserve"> W</w:t>
            </w:r>
            <w:r w:rsidRPr="00E11C3C">
              <w:rPr>
                <w:b/>
              </w:rPr>
              <w:t>ay</w:t>
            </w:r>
          </w:p>
        </w:tc>
        <w:tc>
          <w:tcPr>
            <w:tcW w:w="561" w:type="dxa"/>
            <w:shd w:val="clear" w:color="auto" w:fill="E5DFEC" w:themeFill="accent4" w:themeFillTint="33"/>
            <w:textDirection w:val="btLr"/>
          </w:tcPr>
          <w:p w:rsidR="00534AD8" w:rsidRDefault="00534AD8" w:rsidP="00534AD8">
            <w:pPr>
              <w:spacing w:line="259" w:lineRule="auto"/>
              <w:ind w:left="113" w:right="113"/>
              <w:rPr>
                <w:color w:val="FFFFFF" w:themeColor="background1"/>
                <w:sz w:val="24"/>
              </w:rPr>
            </w:pPr>
            <w:r w:rsidRPr="00E11C3C">
              <w:rPr>
                <w:b/>
              </w:rPr>
              <w:t>Making Good Progress</w:t>
            </w:r>
          </w:p>
        </w:tc>
        <w:tc>
          <w:tcPr>
            <w:tcW w:w="562" w:type="dxa"/>
            <w:shd w:val="clear" w:color="auto" w:fill="E5DFEC" w:themeFill="accent4" w:themeFillTint="33"/>
            <w:textDirection w:val="btLr"/>
          </w:tcPr>
          <w:p w:rsidR="00534AD8" w:rsidRDefault="00534AD8" w:rsidP="00534AD8">
            <w:pPr>
              <w:spacing w:line="259" w:lineRule="auto"/>
              <w:ind w:left="113" w:right="113"/>
              <w:rPr>
                <w:color w:val="FFFFFF" w:themeColor="background1"/>
                <w:sz w:val="24"/>
              </w:rPr>
            </w:pPr>
            <w:r w:rsidRPr="00E11C3C">
              <w:rPr>
                <w:b/>
              </w:rPr>
              <w:t>Successfully Completed</w:t>
            </w:r>
          </w:p>
        </w:tc>
      </w:tr>
      <w:tr w:rsidR="00534AD8" w:rsidTr="00534AD8">
        <w:tc>
          <w:tcPr>
            <w:tcW w:w="7105" w:type="dxa"/>
          </w:tcPr>
          <w:p w:rsidR="00534AD8" w:rsidRDefault="00534AD8" w:rsidP="00534AD8">
            <w:pPr>
              <w:pStyle w:val="ListParagraph"/>
              <w:numPr>
                <w:ilvl w:val="0"/>
                <w:numId w:val="2"/>
              </w:numPr>
              <w:spacing w:after="0" w:line="259" w:lineRule="auto"/>
            </w:pPr>
            <w:r>
              <w:t xml:space="preserve">District level staff have completed the Phase Placement Survey and developed an action plan based on the results. </w:t>
            </w:r>
          </w:p>
        </w:tc>
        <w:tc>
          <w:tcPr>
            <w:tcW w:w="561" w:type="dxa"/>
          </w:tcPr>
          <w:p w:rsidR="00534AD8" w:rsidRDefault="00534AD8" w:rsidP="00534AD8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534AD8" w:rsidRDefault="00534AD8" w:rsidP="00534AD8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534AD8" w:rsidRDefault="00534AD8" w:rsidP="00534AD8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2" w:type="dxa"/>
          </w:tcPr>
          <w:p w:rsidR="00534AD8" w:rsidRDefault="00534AD8" w:rsidP="00534AD8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</w:tr>
      <w:tr w:rsidR="00A467F3" w:rsidTr="00534AD8">
        <w:tc>
          <w:tcPr>
            <w:tcW w:w="7105" w:type="dxa"/>
          </w:tcPr>
          <w:p w:rsidR="00A467F3" w:rsidRDefault="00A467F3" w:rsidP="00A467F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All district staff and teachers have access to a copy of the Alaska Computer Science Standards and the Alaska Digital Literacy Standards. </w:t>
            </w:r>
          </w:p>
        </w:tc>
        <w:tc>
          <w:tcPr>
            <w:tcW w:w="561" w:type="dxa"/>
          </w:tcPr>
          <w:p w:rsidR="00A467F3" w:rsidRDefault="00A467F3" w:rsidP="00A467F3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A467F3" w:rsidRDefault="00A467F3" w:rsidP="00A467F3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A467F3" w:rsidRDefault="00A467F3" w:rsidP="00A467F3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2" w:type="dxa"/>
          </w:tcPr>
          <w:p w:rsidR="00A467F3" w:rsidRDefault="00A467F3" w:rsidP="00A467F3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</w:tr>
      <w:tr w:rsidR="00A467F3" w:rsidTr="00534AD8">
        <w:tc>
          <w:tcPr>
            <w:tcW w:w="7105" w:type="dxa"/>
          </w:tcPr>
          <w:p w:rsidR="00A467F3" w:rsidRDefault="00A467F3" w:rsidP="00A467F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All district staff and teachers understand the need for rigorous standards for Computer Science and Digital Literacy.</w:t>
            </w:r>
          </w:p>
        </w:tc>
        <w:tc>
          <w:tcPr>
            <w:tcW w:w="561" w:type="dxa"/>
          </w:tcPr>
          <w:p w:rsidR="00A467F3" w:rsidRDefault="00A467F3" w:rsidP="00A467F3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A467F3" w:rsidRDefault="00A467F3" w:rsidP="00A467F3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A467F3" w:rsidRDefault="00A467F3" w:rsidP="00A467F3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2" w:type="dxa"/>
          </w:tcPr>
          <w:p w:rsidR="00A467F3" w:rsidRDefault="00A467F3" w:rsidP="00A467F3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</w:tr>
      <w:tr w:rsidR="00A467F3" w:rsidTr="00534AD8">
        <w:tc>
          <w:tcPr>
            <w:tcW w:w="7105" w:type="dxa"/>
          </w:tcPr>
          <w:p w:rsidR="00A467F3" w:rsidRDefault="00A467F3" w:rsidP="00A467F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All district staff and teachers understand the language and structure of the Alaska Computer Science Standards and the Alaska Digital Literacy Standards.</w:t>
            </w:r>
          </w:p>
        </w:tc>
        <w:tc>
          <w:tcPr>
            <w:tcW w:w="561" w:type="dxa"/>
          </w:tcPr>
          <w:p w:rsidR="00A467F3" w:rsidRDefault="00A467F3" w:rsidP="00A467F3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A467F3" w:rsidRDefault="00A467F3" w:rsidP="00A467F3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A467F3" w:rsidRDefault="00A467F3" w:rsidP="00A467F3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2" w:type="dxa"/>
          </w:tcPr>
          <w:p w:rsidR="00A467F3" w:rsidRDefault="00A467F3" w:rsidP="00A467F3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</w:tr>
      <w:tr w:rsidR="00A467F3" w:rsidTr="00534AD8">
        <w:tc>
          <w:tcPr>
            <w:tcW w:w="7105" w:type="dxa"/>
          </w:tcPr>
          <w:p w:rsidR="00A467F3" w:rsidRDefault="00A467F3" w:rsidP="00A467F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All district staff and teachers have a beginning understanding of the content of the Alaska Computer Science Standards and the Alaska Digital Literacy Standards.</w:t>
            </w:r>
          </w:p>
        </w:tc>
        <w:tc>
          <w:tcPr>
            <w:tcW w:w="561" w:type="dxa"/>
          </w:tcPr>
          <w:p w:rsidR="00A467F3" w:rsidRDefault="00A467F3" w:rsidP="00A467F3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A467F3" w:rsidRDefault="00A467F3" w:rsidP="00A467F3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A467F3" w:rsidRDefault="00A467F3" w:rsidP="00A467F3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2" w:type="dxa"/>
          </w:tcPr>
          <w:p w:rsidR="00A467F3" w:rsidRDefault="00A467F3" w:rsidP="00A467F3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</w:tr>
      <w:tr w:rsidR="00A467F3" w:rsidTr="00534AD8">
        <w:tc>
          <w:tcPr>
            <w:tcW w:w="7105" w:type="dxa"/>
          </w:tcPr>
          <w:p w:rsidR="00A467F3" w:rsidRDefault="00A467F3" w:rsidP="00A467F3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All district staff and teachers have access to a copy of the Alaska Computer Science Standards and the Alaska Digital Literacy Standards. </w:t>
            </w:r>
          </w:p>
        </w:tc>
        <w:tc>
          <w:tcPr>
            <w:tcW w:w="561" w:type="dxa"/>
          </w:tcPr>
          <w:p w:rsidR="00A467F3" w:rsidRDefault="00A467F3" w:rsidP="00A467F3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A467F3" w:rsidRDefault="00A467F3" w:rsidP="00A467F3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A467F3" w:rsidRDefault="00A467F3" w:rsidP="00A467F3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2" w:type="dxa"/>
          </w:tcPr>
          <w:p w:rsidR="00A467F3" w:rsidRDefault="00A467F3" w:rsidP="00A467F3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</w:tr>
    </w:tbl>
    <w:p w:rsidR="00A467F3" w:rsidRPr="00A467F3" w:rsidRDefault="00A467F3" w:rsidP="00A467F3">
      <w:pPr>
        <w:spacing w:after="0"/>
        <w:rPr>
          <w:b/>
          <w:sz w:val="12"/>
        </w:rPr>
      </w:pPr>
    </w:p>
    <w:p w:rsidR="003040F4" w:rsidRPr="003040F4" w:rsidRDefault="003040F4" w:rsidP="00A467F3">
      <w:pPr>
        <w:spacing w:after="40"/>
        <w:rPr>
          <w:b/>
          <w:sz w:val="28"/>
        </w:rPr>
      </w:pPr>
      <w:r w:rsidRPr="003040F4">
        <w:rPr>
          <w:b/>
          <w:sz w:val="28"/>
        </w:rPr>
        <w:t>Possible Resources for Awareness Phase:</w:t>
      </w:r>
    </w:p>
    <w:p w:rsidR="003040F4" w:rsidRPr="003040F4" w:rsidRDefault="003040F4" w:rsidP="00700E2D">
      <w:pPr>
        <w:pStyle w:val="ListParagraph"/>
        <w:numPr>
          <w:ilvl w:val="0"/>
          <w:numId w:val="3"/>
        </w:numPr>
        <w:spacing w:after="0" w:line="259" w:lineRule="auto"/>
      </w:pPr>
      <w:r w:rsidRPr="003040F4">
        <w:t xml:space="preserve">Phase Placement Survey </w:t>
      </w:r>
    </w:p>
    <w:p w:rsidR="003040F4" w:rsidRPr="003040F4" w:rsidRDefault="003040F4" w:rsidP="00700E2D">
      <w:pPr>
        <w:pStyle w:val="ListParagraph"/>
        <w:numPr>
          <w:ilvl w:val="0"/>
          <w:numId w:val="3"/>
        </w:numPr>
        <w:spacing w:after="0" w:line="259" w:lineRule="auto"/>
      </w:pPr>
      <w:r w:rsidRPr="003040F4">
        <w:t>Local Needs Assessment to guide planning</w:t>
      </w:r>
    </w:p>
    <w:p w:rsidR="00A467F3" w:rsidRDefault="00A467F3" w:rsidP="0085747C">
      <w:pPr>
        <w:pStyle w:val="ListParagraph"/>
        <w:numPr>
          <w:ilvl w:val="0"/>
          <w:numId w:val="3"/>
        </w:numPr>
        <w:spacing w:after="0"/>
      </w:pPr>
      <w:hyperlink r:id="rId7" w:history="1">
        <w:r w:rsidRPr="00A467F3">
          <w:rPr>
            <w:rStyle w:val="Hyperlink"/>
          </w:rPr>
          <w:t>Computer Science Standards Document</w:t>
        </w:r>
      </w:hyperlink>
      <w:r>
        <w:t xml:space="preserve"> (</w:t>
      </w:r>
      <w:r w:rsidR="0085747C">
        <w:t>https://</w:t>
      </w:r>
      <w:r w:rsidR="0085747C" w:rsidRPr="0085747C">
        <w:t>shorturl.at/hnqGP</w:t>
      </w:r>
      <w:r>
        <w:t xml:space="preserve">) </w:t>
      </w:r>
    </w:p>
    <w:p w:rsidR="00A467F3" w:rsidRDefault="00A467F3" w:rsidP="0085747C">
      <w:pPr>
        <w:pStyle w:val="ListParagraph"/>
        <w:numPr>
          <w:ilvl w:val="0"/>
          <w:numId w:val="3"/>
        </w:numPr>
        <w:spacing w:after="0"/>
      </w:pPr>
      <w:hyperlink r:id="rId8" w:history="1">
        <w:r w:rsidRPr="00A467F3">
          <w:rPr>
            <w:rStyle w:val="Hyperlink"/>
          </w:rPr>
          <w:t>Digital Literacy Standards Document</w:t>
        </w:r>
      </w:hyperlink>
      <w:r w:rsidR="0085747C">
        <w:t xml:space="preserve"> </w:t>
      </w:r>
      <w:r>
        <w:t>(https://</w:t>
      </w:r>
      <w:r w:rsidR="0085747C" w:rsidRPr="0085747C">
        <w:t xml:space="preserve"> shorturl.at/CI278</w:t>
      </w:r>
      <w:r>
        <w:t>)</w:t>
      </w:r>
    </w:p>
    <w:p w:rsidR="003040F4" w:rsidRPr="003040F4" w:rsidRDefault="00A467F3" w:rsidP="00700E2D">
      <w:pPr>
        <w:pStyle w:val="ListParagraph"/>
        <w:numPr>
          <w:ilvl w:val="0"/>
          <w:numId w:val="3"/>
        </w:numPr>
        <w:spacing w:after="0" w:line="259" w:lineRule="auto"/>
      </w:pPr>
      <w:r>
        <w:t>Overview of the Alaska Computer Science and Digital Literacy Standards (to be developed)</w:t>
      </w:r>
      <w:r w:rsidR="003040F4" w:rsidRPr="003040F4">
        <w:t xml:space="preserve"> </w:t>
      </w:r>
    </w:p>
    <w:p w:rsidR="003040F4" w:rsidRPr="003040F4" w:rsidRDefault="003040F4" w:rsidP="0085747C">
      <w:pPr>
        <w:pStyle w:val="ListParagraph"/>
        <w:numPr>
          <w:ilvl w:val="0"/>
          <w:numId w:val="3"/>
        </w:numPr>
        <w:spacing w:after="0" w:line="259" w:lineRule="auto"/>
      </w:pPr>
      <w:r w:rsidRPr="003040F4">
        <w:t xml:space="preserve">Introduction to the </w:t>
      </w:r>
      <w:r w:rsidR="0085747C" w:rsidRPr="0085747C">
        <w:t xml:space="preserve">Alaska Computer Science and Digital Literacy Standards </w:t>
      </w:r>
      <w:r w:rsidRPr="003040F4">
        <w:t>–</w:t>
      </w:r>
    </w:p>
    <w:p w:rsidR="003040F4" w:rsidRPr="003040F4" w:rsidRDefault="003040F4" w:rsidP="00700E2D">
      <w:pPr>
        <w:pStyle w:val="ListParagraph"/>
        <w:numPr>
          <w:ilvl w:val="0"/>
          <w:numId w:val="4"/>
        </w:numPr>
        <w:spacing w:after="0" w:line="259" w:lineRule="auto"/>
      </w:pPr>
      <w:r w:rsidRPr="003040F4">
        <w:t>PowerPoint (to be developed)</w:t>
      </w:r>
    </w:p>
    <w:p w:rsidR="0085747C" w:rsidRDefault="0085747C" w:rsidP="0085747C">
      <w:pPr>
        <w:pStyle w:val="ListParagraph"/>
        <w:numPr>
          <w:ilvl w:val="0"/>
          <w:numId w:val="4"/>
        </w:numPr>
        <w:spacing w:after="0"/>
      </w:pPr>
      <w:r>
        <w:t>Guide to Reading the Alaska Computer Science Standards</w:t>
      </w:r>
    </w:p>
    <w:p w:rsidR="00395AC8" w:rsidRDefault="0085747C" w:rsidP="00F15B99">
      <w:pPr>
        <w:pStyle w:val="ListParagraph"/>
        <w:numPr>
          <w:ilvl w:val="0"/>
          <w:numId w:val="4"/>
        </w:numPr>
        <w:spacing w:after="0" w:line="259" w:lineRule="auto"/>
      </w:pPr>
      <w:r>
        <w:t>Guide to Reading the Alaska Digital Literacy Standards (to be developed)</w:t>
      </w:r>
      <w:r w:rsidR="00395AC8">
        <w:br w:type="page"/>
      </w:r>
    </w:p>
    <w:p w:rsidR="00395AC8" w:rsidRDefault="005D66F4" w:rsidP="005D66F4">
      <w:pPr>
        <w:shd w:val="clear" w:color="auto" w:fill="8064A2" w:themeFill="accent4"/>
        <w:spacing w:after="0" w:line="240" w:lineRule="auto"/>
        <w:jc w:val="center"/>
        <w:rPr>
          <w:color w:val="FFFFFF" w:themeColor="background1"/>
          <w:sz w:val="36"/>
        </w:rPr>
      </w:pPr>
      <w:r>
        <w:rPr>
          <w:color w:val="FFFFFF" w:themeColor="background1"/>
          <w:sz w:val="36"/>
        </w:rPr>
        <w:lastRenderedPageBreak/>
        <w:t>Alaska Computer Science &amp; Digital Literacy Standards</w:t>
      </w:r>
      <w:r w:rsidR="00395AC8">
        <w:rPr>
          <w:color w:val="FFFFFF" w:themeColor="background1"/>
          <w:sz w:val="36"/>
        </w:rPr>
        <w:br/>
        <w:t>Phase Placement Survey</w:t>
      </w:r>
    </w:p>
    <w:p w:rsidR="00395AC8" w:rsidRPr="004D1ED6" w:rsidRDefault="00395AC8" w:rsidP="004D1ED6">
      <w:pPr>
        <w:spacing w:before="40" w:after="0"/>
        <w:rPr>
          <w:b/>
          <w:sz w:val="28"/>
        </w:rPr>
      </w:pPr>
      <w:r w:rsidRPr="004D1ED6">
        <w:rPr>
          <w:b/>
          <w:sz w:val="28"/>
        </w:rPr>
        <w:t>Transition Phase Goal:</w:t>
      </w:r>
    </w:p>
    <w:p w:rsidR="00395AC8" w:rsidRPr="004D1ED6" w:rsidRDefault="00395AC8" w:rsidP="00F65E3F">
      <w:pPr>
        <w:spacing w:after="0"/>
        <w:rPr>
          <w:b/>
          <w:sz w:val="12"/>
          <w:szCs w:val="12"/>
        </w:rPr>
      </w:pPr>
    </w:p>
    <w:p w:rsidR="00395AC8" w:rsidRPr="00F65E3F" w:rsidRDefault="00395AC8" w:rsidP="00F65E3F">
      <w:pPr>
        <w:pStyle w:val="ListParagraph"/>
        <w:numPr>
          <w:ilvl w:val="0"/>
          <w:numId w:val="1"/>
        </w:numPr>
        <w:spacing w:after="0" w:line="259" w:lineRule="auto"/>
      </w:pPr>
      <w:r w:rsidRPr="00F65E3F">
        <w:t xml:space="preserve">Teachers are adjusting instruction to be consistent with </w:t>
      </w:r>
      <w:r w:rsidR="00800887">
        <w:t>the Alaska Computer Science Standards and the Alaska Digital Literacy Standards</w:t>
      </w:r>
      <w:r w:rsidRPr="00F65E3F">
        <w:t>.</w:t>
      </w:r>
    </w:p>
    <w:p w:rsidR="00395AC8" w:rsidRPr="004D1ED6" w:rsidRDefault="00395AC8" w:rsidP="00F65E3F">
      <w:pPr>
        <w:spacing w:after="0"/>
        <w:ind w:left="360"/>
        <w:rPr>
          <w:sz w:val="12"/>
          <w:szCs w:val="12"/>
        </w:rPr>
      </w:pPr>
    </w:p>
    <w:p w:rsidR="00395AC8" w:rsidRPr="00F65E3F" w:rsidRDefault="00800887" w:rsidP="00F65E3F">
      <w:pPr>
        <w:pStyle w:val="ListParagraph"/>
        <w:numPr>
          <w:ilvl w:val="0"/>
          <w:numId w:val="1"/>
        </w:numPr>
        <w:spacing w:after="0" w:line="259" w:lineRule="auto"/>
        <w:contextualSpacing w:val="0"/>
      </w:pPr>
      <w:r>
        <w:t>District has a plan to address curricula, materials, and professional development for implementation of the</w:t>
      </w:r>
      <w:r w:rsidRPr="002631BE">
        <w:t xml:space="preserve"> </w:t>
      </w:r>
      <w:r>
        <w:t>Alaska Computer Science Standards and the Alaska Digital Literacy Standards</w:t>
      </w:r>
      <w:r w:rsidR="00395AC8" w:rsidRPr="00F65E3F">
        <w:t>.</w:t>
      </w:r>
    </w:p>
    <w:p w:rsidR="00534AD8" w:rsidRPr="004D1ED6" w:rsidRDefault="00534AD8" w:rsidP="00395AC8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eps for Transition"/>
        <w:tblDescription w:val="Checklist table for completing transition steps"/>
      </w:tblPr>
      <w:tblGrid>
        <w:gridCol w:w="7105"/>
        <w:gridCol w:w="561"/>
        <w:gridCol w:w="561"/>
        <w:gridCol w:w="561"/>
        <w:gridCol w:w="562"/>
      </w:tblGrid>
      <w:tr w:rsidR="005F2088" w:rsidTr="005D66F4">
        <w:trPr>
          <w:cantSplit/>
          <w:trHeight w:val="2438"/>
          <w:tblHeader/>
        </w:trPr>
        <w:tc>
          <w:tcPr>
            <w:tcW w:w="7105" w:type="dxa"/>
            <w:shd w:val="clear" w:color="auto" w:fill="E5DFEC" w:themeFill="accent4" w:themeFillTint="33"/>
            <w:vAlign w:val="bottom"/>
          </w:tcPr>
          <w:p w:rsidR="005F2088" w:rsidRPr="00534AD8" w:rsidRDefault="005F2088" w:rsidP="00AE563C">
            <w:pPr>
              <w:spacing w:line="259" w:lineRule="auto"/>
              <w:rPr>
                <w:b/>
              </w:rPr>
            </w:pPr>
            <w:r w:rsidRPr="00534AD8">
              <w:rPr>
                <w:b/>
                <w:sz w:val="28"/>
              </w:rPr>
              <w:t xml:space="preserve">Steps for </w:t>
            </w:r>
            <w:r w:rsidR="00AE563C">
              <w:rPr>
                <w:b/>
                <w:sz w:val="28"/>
              </w:rPr>
              <w:t>Transition</w:t>
            </w:r>
            <w:r w:rsidRPr="00534AD8">
              <w:rPr>
                <w:b/>
                <w:sz w:val="28"/>
              </w:rPr>
              <w:t xml:space="preserve"> Phase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561" w:type="dxa"/>
            <w:shd w:val="clear" w:color="auto" w:fill="E5DFEC" w:themeFill="accent4" w:themeFillTint="33"/>
            <w:textDirection w:val="btLr"/>
          </w:tcPr>
          <w:p w:rsidR="005F2088" w:rsidRDefault="005F2088" w:rsidP="00CF2205">
            <w:pPr>
              <w:spacing w:line="259" w:lineRule="auto"/>
              <w:ind w:left="113" w:right="113"/>
              <w:rPr>
                <w:color w:val="FFFFFF" w:themeColor="background1"/>
                <w:sz w:val="24"/>
              </w:rPr>
            </w:pPr>
            <w:r>
              <w:rPr>
                <w:b/>
              </w:rPr>
              <w:t>Have N</w:t>
            </w:r>
            <w:r w:rsidRPr="00E11C3C">
              <w:rPr>
                <w:b/>
              </w:rPr>
              <w:t>ot Begun</w:t>
            </w:r>
          </w:p>
        </w:tc>
        <w:tc>
          <w:tcPr>
            <w:tcW w:w="561" w:type="dxa"/>
            <w:shd w:val="clear" w:color="auto" w:fill="E5DFEC" w:themeFill="accent4" w:themeFillTint="33"/>
            <w:textDirection w:val="btLr"/>
          </w:tcPr>
          <w:p w:rsidR="005F2088" w:rsidRDefault="005F2088" w:rsidP="00CF2205">
            <w:pPr>
              <w:spacing w:line="259" w:lineRule="auto"/>
              <w:ind w:left="113" w:right="113"/>
              <w:rPr>
                <w:color w:val="FFFFFF" w:themeColor="background1"/>
                <w:sz w:val="24"/>
              </w:rPr>
            </w:pPr>
            <w:r w:rsidRPr="00E11C3C">
              <w:rPr>
                <w:b/>
              </w:rPr>
              <w:t>Just Under</w:t>
            </w:r>
            <w:r>
              <w:rPr>
                <w:b/>
              </w:rPr>
              <w:t xml:space="preserve"> W</w:t>
            </w:r>
            <w:r w:rsidRPr="00E11C3C">
              <w:rPr>
                <w:b/>
              </w:rPr>
              <w:t>ay</w:t>
            </w:r>
          </w:p>
        </w:tc>
        <w:tc>
          <w:tcPr>
            <w:tcW w:w="561" w:type="dxa"/>
            <w:shd w:val="clear" w:color="auto" w:fill="E5DFEC" w:themeFill="accent4" w:themeFillTint="33"/>
            <w:textDirection w:val="btLr"/>
          </w:tcPr>
          <w:p w:rsidR="005F2088" w:rsidRDefault="005F2088" w:rsidP="00CF2205">
            <w:pPr>
              <w:spacing w:line="259" w:lineRule="auto"/>
              <w:ind w:left="113" w:right="113"/>
              <w:rPr>
                <w:color w:val="FFFFFF" w:themeColor="background1"/>
                <w:sz w:val="24"/>
              </w:rPr>
            </w:pPr>
            <w:r w:rsidRPr="00E11C3C">
              <w:rPr>
                <w:b/>
              </w:rPr>
              <w:t>Making Good Progress</w:t>
            </w:r>
          </w:p>
        </w:tc>
        <w:tc>
          <w:tcPr>
            <w:tcW w:w="562" w:type="dxa"/>
            <w:shd w:val="clear" w:color="auto" w:fill="E5DFEC" w:themeFill="accent4" w:themeFillTint="33"/>
            <w:textDirection w:val="btLr"/>
          </w:tcPr>
          <w:p w:rsidR="005F2088" w:rsidRDefault="005F2088" w:rsidP="00CF2205">
            <w:pPr>
              <w:spacing w:line="259" w:lineRule="auto"/>
              <w:ind w:left="113" w:right="113"/>
              <w:rPr>
                <w:color w:val="FFFFFF" w:themeColor="background1"/>
                <w:sz w:val="24"/>
              </w:rPr>
            </w:pPr>
            <w:r w:rsidRPr="00E11C3C">
              <w:rPr>
                <w:b/>
              </w:rPr>
              <w:t>Successfully Completed</w:t>
            </w:r>
          </w:p>
        </w:tc>
      </w:tr>
      <w:tr w:rsidR="00800887" w:rsidTr="00CF2205">
        <w:tc>
          <w:tcPr>
            <w:tcW w:w="7105" w:type="dxa"/>
          </w:tcPr>
          <w:p w:rsidR="00800887" w:rsidRDefault="00800887" w:rsidP="0080088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Teachers have identified instructional practices and content in</w:t>
            </w:r>
            <w:r w:rsidRPr="002631BE">
              <w:t xml:space="preserve"> </w:t>
            </w:r>
            <w:r>
              <w:t>the Alaska Computer Science Standards</w:t>
            </w:r>
            <w:r w:rsidRPr="002631BE">
              <w:t xml:space="preserve"> </w:t>
            </w:r>
            <w:r>
              <w:t xml:space="preserve">and the Alaska Digital Literacy Standards that apply to their instructional area(s). </w:t>
            </w:r>
          </w:p>
        </w:tc>
        <w:tc>
          <w:tcPr>
            <w:tcW w:w="561" w:type="dxa"/>
          </w:tcPr>
          <w:p w:rsidR="00800887" w:rsidRDefault="00800887" w:rsidP="00800887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800887" w:rsidRDefault="00800887" w:rsidP="00800887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800887" w:rsidRDefault="00800887" w:rsidP="00800887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2" w:type="dxa"/>
          </w:tcPr>
          <w:p w:rsidR="00800887" w:rsidRDefault="00800887" w:rsidP="00800887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</w:tr>
      <w:tr w:rsidR="00800887" w:rsidTr="00CF2205">
        <w:tc>
          <w:tcPr>
            <w:tcW w:w="7105" w:type="dxa"/>
          </w:tcPr>
          <w:p w:rsidR="00800887" w:rsidRDefault="00800887" w:rsidP="0080088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5A0D6C">
              <w:t xml:space="preserve">Teachers have begun to adjust instructional practices to reflect the </w:t>
            </w:r>
            <w:r>
              <w:t>content of</w:t>
            </w:r>
            <w:r w:rsidRPr="005A0D6C">
              <w:t xml:space="preserve"> the</w:t>
            </w:r>
            <w:r>
              <w:t xml:space="preserve"> Alaska Computer Science Standards and the Alaska Digital Literacy Standards.</w:t>
            </w:r>
          </w:p>
        </w:tc>
        <w:tc>
          <w:tcPr>
            <w:tcW w:w="561" w:type="dxa"/>
          </w:tcPr>
          <w:p w:rsidR="00800887" w:rsidRDefault="00800887" w:rsidP="00800887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800887" w:rsidRDefault="00800887" w:rsidP="00800887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800887" w:rsidRDefault="00800887" w:rsidP="00800887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2" w:type="dxa"/>
          </w:tcPr>
          <w:p w:rsidR="00800887" w:rsidRDefault="00800887" w:rsidP="00800887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</w:tr>
      <w:tr w:rsidR="00800887" w:rsidTr="00CF2205">
        <w:tc>
          <w:tcPr>
            <w:tcW w:w="7105" w:type="dxa"/>
          </w:tcPr>
          <w:p w:rsidR="00800887" w:rsidRDefault="00800887" w:rsidP="0080088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 xml:space="preserve">The district has conducted a systematic examination and alignment of curricula with Alaska Computer Science Standards and the Alaska Digital Literacy Standards. </w:t>
            </w:r>
          </w:p>
        </w:tc>
        <w:tc>
          <w:tcPr>
            <w:tcW w:w="561" w:type="dxa"/>
          </w:tcPr>
          <w:p w:rsidR="00800887" w:rsidRDefault="00800887" w:rsidP="00800887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800887" w:rsidRDefault="00800887" w:rsidP="00800887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800887" w:rsidRDefault="00800887" w:rsidP="00800887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2" w:type="dxa"/>
          </w:tcPr>
          <w:p w:rsidR="00800887" w:rsidRDefault="00800887" w:rsidP="00800887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</w:tr>
      <w:tr w:rsidR="00800887" w:rsidTr="00CF2205">
        <w:tc>
          <w:tcPr>
            <w:tcW w:w="7105" w:type="dxa"/>
          </w:tcPr>
          <w:p w:rsidR="00800887" w:rsidRDefault="00800887" w:rsidP="0080088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 xml:space="preserve">The district has identified gaps between current curricula and materials and those needed </w:t>
            </w:r>
            <w:proofErr w:type="gramStart"/>
            <w:r>
              <w:t>to effectively implement</w:t>
            </w:r>
            <w:proofErr w:type="gramEnd"/>
            <w:r>
              <w:t xml:space="preserve"> the Alaska Computer Science Standards and the Alaska Digital Literacy Standards. </w:t>
            </w:r>
          </w:p>
        </w:tc>
        <w:tc>
          <w:tcPr>
            <w:tcW w:w="561" w:type="dxa"/>
          </w:tcPr>
          <w:p w:rsidR="00800887" w:rsidRDefault="00800887" w:rsidP="00800887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800887" w:rsidRDefault="00800887" w:rsidP="00800887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800887" w:rsidRDefault="00800887" w:rsidP="00800887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2" w:type="dxa"/>
          </w:tcPr>
          <w:p w:rsidR="00800887" w:rsidRDefault="00800887" w:rsidP="00800887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</w:tr>
      <w:tr w:rsidR="00800887" w:rsidTr="00CF2205">
        <w:tc>
          <w:tcPr>
            <w:tcW w:w="7105" w:type="dxa"/>
          </w:tcPr>
          <w:p w:rsidR="00800887" w:rsidRDefault="00800887" w:rsidP="00800887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The district has developed a plan to address the identified gaps.</w:t>
            </w:r>
          </w:p>
        </w:tc>
        <w:tc>
          <w:tcPr>
            <w:tcW w:w="561" w:type="dxa"/>
          </w:tcPr>
          <w:p w:rsidR="00800887" w:rsidRDefault="00800887" w:rsidP="00800887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800887" w:rsidRDefault="00800887" w:rsidP="00800887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800887" w:rsidRDefault="00800887" w:rsidP="00800887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2" w:type="dxa"/>
          </w:tcPr>
          <w:p w:rsidR="00800887" w:rsidRDefault="00800887" w:rsidP="00800887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</w:tr>
    </w:tbl>
    <w:p w:rsidR="005F2088" w:rsidRDefault="005F2088" w:rsidP="005F2088">
      <w:pPr>
        <w:spacing w:after="0"/>
        <w:rPr>
          <w:color w:val="FFFFFF" w:themeColor="background1"/>
          <w:sz w:val="24"/>
        </w:rPr>
      </w:pPr>
    </w:p>
    <w:p w:rsidR="005F2088" w:rsidRPr="00534AD8" w:rsidRDefault="005F2088" w:rsidP="005F2088">
      <w:pPr>
        <w:spacing w:after="0"/>
        <w:rPr>
          <w:b/>
          <w:sz w:val="28"/>
        </w:rPr>
      </w:pPr>
      <w:r w:rsidRPr="00534AD8">
        <w:rPr>
          <w:b/>
          <w:sz w:val="28"/>
        </w:rPr>
        <w:t xml:space="preserve">Possible Resources for </w:t>
      </w:r>
      <w:r w:rsidR="00AE563C">
        <w:rPr>
          <w:b/>
          <w:sz w:val="28"/>
        </w:rPr>
        <w:t>Transition</w:t>
      </w:r>
      <w:r w:rsidRPr="00534AD8">
        <w:rPr>
          <w:b/>
          <w:sz w:val="28"/>
        </w:rPr>
        <w:t xml:space="preserve"> Phase</w:t>
      </w:r>
      <w:r>
        <w:rPr>
          <w:b/>
          <w:sz w:val="28"/>
        </w:rPr>
        <w:t>:</w:t>
      </w:r>
    </w:p>
    <w:p w:rsidR="00F65E3F" w:rsidRDefault="00F65E3F" w:rsidP="00F65E3F">
      <w:pPr>
        <w:pStyle w:val="ListParagraph"/>
        <w:numPr>
          <w:ilvl w:val="0"/>
          <w:numId w:val="7"/>
        </w:numPr>
        <w:spacing w:after="0"/>
      </w:pPr>
      <w:r>
        <w:t>Highlights by Content Areas (to be developed)</w:t>
      </w:r>
    </w:p>
    <w:p w:rsidR="00F65E3F" w:rsidRDefault="00F65E3F" w:rsidP="00F65E3F">
      <w:pPr>
        <w:pStyle w:val="ListParagraph"/>
        <w:numPr>
          <w:ilvl w:val="0"/>
          <w:numId w:val="7"/>
        </w:numPr>
        <w:spacing w:after="0"/>
      </w:pPr>
      <w:r>
        <w:t>Comparison Guide (to be developed)</w:t>
      </w:r>
    </w:p>
    <w:p w:rsidR="004D1ED6" w:rsidRDefault="00F65E3F" w:rsidP="00395AC8">
      <w:pPr>
        <w:pStyle w:val="ListParagraph"/>
        <w:numPr>
          <w:ilvl w:val="0"/>
          <w:numId w:val="7"/>
        </w:numPr>
        <w:spacing w:after="0"/>
      </w:pPr>
      <w:r>
        <w:t>District Leader’s Guide (to be developed)</w:t>
      </w:r>
    </w:p>
    <w:p w:rsidR="004D1ED6" w:rsidRDefault="004D1ED6">
      <w:r>
        <w:br w:type="page"/>
      </w:r>
    </w:p>
    <w:p w:rsidR="004D1ED6" w:rsidRDefault="005D66F4" w:rsidP="005D66F4">
      <w:pPr>
        <w:shd w:val="clear" w:color="auto" w:fill="8064A2" w:themeFill="accent4"/>
        <w:spacing w:after="0" w:line="240" w:lineRule="auto"/>
        <w:jc w:val="center"/>
        <w:rPr>
          <w:color w:val="FFFFFF" w:themeColor="background1"/>
          <w:sz w:val="36"/>
        </w:rPr>
      </w:pPr>
      <w:r>
        <w:rPr>
          <w:color w:val="FFFFFF" w:themeColor="background1"/>
          <w:sz w:val="36"/>
        </w:rPr>
        <w:lastRenderedPageBreak/>
        <w:t>Alaska Computer Science &amp; Digital Literacy Standards</w:t>
      </w:r>
      <w:r w:rsidR="004D1ED6">
        <w:rPr>
          <w:color w:val="FFFFFF" w:themeColor="background1"/>
          <w:sz w:val="36"/>
        </w:rPr>
        <w:br/>
        <w:t>Phase Placement Survey</w:t>
      </w:r>
    </w:p>
    <w:p w:rsidR="004D1ED6" w:rsidRPr="004D1ED6" w:rsidRDefault="00AE563C" w:rsidP="004D1ED6">
      <w:pPr>
        <w:spacing w:before="40" w:after="0"/>
        <w:rPr>
          <w:b/>
          <w:sz w:val="28"/>
        </w:rPr>
      </w:pPr>
      <w:r>
        <w:rPr>
          <w:b/>
          <w:sz w:val="28"/>
        </w:rPr>
        <w:t>Implementation</w:t>
      </w:r>
      <w:r w:rsidR="004D1ED6" w:rsidRPr="004D1ED6">
        <w:rPr>
          <w:b/>
          <w:sz w:val="28"/>
        </w:rPr>
        <w:t xml:space="preserve"> Phase Goal:</w:t>
      </w:r>
    </w:p>
    <w:p w:rsidR="004D1ED6" w:rsidRPr="004D1ED6" w:rsidRDefault="004D1ED6" w:rsidP="004D1ED6">
      <w:pPr>
        <w:spacing w:after="0"/>
        <w:rPr>
          <w:b/>
          <w:sz w:val="12"/>
          <w:szCs w:val="12"/>
        </w:rPr>
      </w:pPr>
    </w:p>
    <w:p w:rsidR="004D1ED6" w:rsidRPr="00F65E3F" w:rsidRDefault="004D1ED6" w:rsidP="00E90361">
      <w:pPr>
        <w:pStyle w:val="ListParagraph"/>
        <w:numPr>
          <w:ilvl w:val="0"/>
          <w:numId w:val="1"/>
        </w:numPr>
        <w:spacing w:after="0" w:line="259" w:lineRule="auto"/>
      </w:pPr>
      <w:r>
        <w:t xml:space="preserve">District has aligned curricula and materials to </w:t>
      </w:r>
      <w:r w:rsidR="00E90361" w:rsidRPr="00E90361">
        <w:t>the Alaska Computer Science Standards and the Alaska Digital Literacy Standards</w:t>
      </w:r>
      <w:r w:rsidRPr="00F65E3F">
        <w:t>.</w:t>
      </w:r>
    </w:p>
    <w:p w:rsidR="004D1ED6" w:rsidRPr="004D1ED6" w:rsidRDefault="004D1ED6" w:rsidP="004D1ED6">
      <w:pPr>
        <w:spacing w:after="0"/>
        <w:ind w:left="360"/>
        <w:rPr>
          <w:sz w:val="12"/>
          <w:szCs w:val="12"/>
        </w:rPr>
      </w:pPr>
    </w:p>
    <w:p w:rsidR="004D1ED6" w:rsidRPr="00F65E3F" w:rsidRDefault="004D1ED6" w:rsidP="00E90361">
      <w:pPr>
        <w:pStyle w:val="ListParagraph"/>
        <w:numPr>
          <w:ilvl w:val="0"/>
          <w:numId w:val="1"/>
        </w:numPr>
        <w:spacing w:after="0" w:line="259" w:lineRule="auto"/>
        <w:contextualSpacing w:val="0"/>
      </w:pPr>
      <w:r>
        <w:t xml:space="preserve">District is providing ongoing professional development and monitoring of instruction regarding implementation of </w:t>
      </w:r>
      <w:r w:rsidR="00E90361" w:rsidRPr="00E90361">
        <w:t>the Alaska Computer Science Standards and the Alaska Digital Literacy Standards</w:t>
      </w:r>
      <w:r w:rsidRPr="00F65E3F">
        <w:t>.</w:t>
      </w:r>
    </w:p>
    <w:p w:rsidR="004D1ED6" w:rsidRPr="004D1ED6" w:rsidRDefault="004D1ED6" w:rsidP="004D1ED6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eps for Implementation"/>
        <w:tblDescription w:val="Checklist table for completing implementation steps"/>
      </w:tblPr>
      <w:tblGrid>
        <w:gridCol w:w="7105"/>
        <w:gridCol w:w="561"/>
        <w:gridCol w:w="561"/>
        <w:gridCol w:w="561"/>
        <w:gridCol w:w="562"/>
      </w:tblGrid>
      <w:tr w:rsidR="004D1ED6" w:rsidTr="005D66F4">
        <w:trPr>
          <w:cantSplit/>
          <w:trHeight w:val="2438"/>
          <w:tblHeader/>
        </w:trPr>
        <w:tc>
          <w:tcPr>
            <w:tcW w:w="7105" w:type="dxa"/>
            <w:shd w:val="clear" w:color="auto" w:fill="E5DFEC" w:themeFill="accent4" w:themeFillTint="33"/>
            <w:vAlign w:val="bottom"/>
          </w:tcPr>
          <w:p w:rsidR="004D1ED6" w:rsidRPr="00534AD8" w:rsidRDefault="004D1ED6" w:rsidP="00AE563C">
            <w:pPr>
              <w:spacing w:line="259" w:lineRule="auto"/>
              <w:rPr>
                <w:b/>
              </w:rPr>
            </w:pPr>
            <w:r w:rsidRPr="00534AD8">
              <w:rPr>
                <w:b/>
                <w:sz w:val="28"/>
              </w:rPr>
              <w:t xml:space="preserve">Steps for </w:t>
            </w:r>
            <w:r w:rsidR="00AE563C">
              <w:rPr>
                <w:b/>
                <w:sz w:val="28"/>
              </w:rPr>
              <w:t>Implementation</w:t>
            </w:r>
            <w:r w:rsidRPr="00534AD8">
              <w:rPr>
                <w:b/>
                <w:sz w:val="28"/>
              </w:rPr>
              <w:t xml:space="preserve"> Phase</w:t>
            </w:r>
            <w:r>
              <w:rPr>
                <w:b/>
                <w:sz w:val="28"/>
              </w:rPr>
              <w:t>:</w:t>
            </w:r>
            <w:bookmarkStart w:id="0" w:name="_GoBack"/>
            <w:bookmarkEnd w:id="0"/>
          </w:p>
        </w:tc>
        <w:tc>
          <w:tcPr>
            <w:tcW w:w="561" w:type="dxa"/>
            <w:shd w:val="clear" w:color="auto" w:fill="E5DFEC" w:themeFill="accent4" w:themeFillTint="33"/>
            <w:textDirection w:val="btLr"/>
          </w:tcPr>
          <w:p w:rsidR="004D1ED6" w:rsidRDefault="004D1ED6" w:rsidP="00CF2205">
            <w:pPr>
              <w:spacing w:line="259" w:lineRule="auto"/>
              <w:ind w:left="113" w:right="113"/>
              <w:rPr>
                <w:color w:val="FFFFFF" w:themeColor="background1"/>
                <w:sz w:val="24"/>
              </w:rPr>
            </w:pPr>
            <w:r>
              <w:rPr>
                <w:b/>
              </w:rPr>
              <w:t>Have N</w:t>
            </w:r>
            <w:r w:rsidRPr="00E11C3C">
              <w:rPr>
                <w:b/>
              </w:rPr>
              <w:t>ot Begun</w:t>
            </w:r>
          </w:p>
        </w:tc>
        <w:tc>
          <w:tcPr>
            <w:tcW w:w="561" w:type="dxa"/>
            <w:shd w:val="clear" w:color="auto" w:fill="E5DFEC" w:themeFill="accent4" w:themeFillTint="33"/>
            <w:textDirection w:val="btLr"/>
          </w:tcPr>
          <w:p w:rsidR="004D1ED6" w:rsidRDefault="004D1ED6" w:rsidP="00CF2205">
            <w:pPr>
              <w:spacing w:line="259" w:lineRule="auto"/>
              <w:ind w:left="113" w:right="113"/>
              <w:rPr>
                <w:color w:val="FFFFFF" w:themeColor="background1"/>
                <w:sz w:val="24"/>
              </w:rPr>
            </w:pPr>
            <w:r w:rsidRPr="00E11C3C">
              <w:rPr>
                <w:b/>
              </w:rPr>
              <w:t>Just Under</w:t>
            </w:r>
            <w:r>
              <w:rPr>
                <w:b/>
              </w:rPr>
              <w:t xml:space="preserve"> W</w:t>
            </w:r>
            <w:r w:rsidRPr="00E11C3C">
              <w:rPr>
                <w:b/>
              </w:rPr>
              <w:t>ay</w:t>
            </w:r>
          </w:p>
        </w:tc>
        <w:tc>
          <w:tcPr>
            <w:tcW w:w="561" w:type="dxa"/>
            <w:shd w:val="clear" w:color="auto" w:fill="E5DFEC" w:themeFill="accent4" w:themeFillTint="33"/>
            <w:textDirection w:val="btLr"/>
          </w:tcPr>
          <w:p w:rsidR="004D1ED6" w:rsidRDefault="004D1ED6" w:rsidP="00CF2205">
            <w:pPr>
              <w:spacing w:line="259" w:lineRule="auto"/>
              <w:ind w:left="113" w:right="113"/>
              <w:rPr>
                <w:color w:val="FFFFFF" w:themeColor="background1"/>
                <w:sz w:val="24"/>
              </w:rPr>
            </w:pPr>
            <w:r w:rsidRPr="00E11C3C">
              <w:rPr>
                <w:b/>
              </w:rPr>
              <w:t>Making Good Progress</w:t>
            </w:r>
          </w:p>
        </w:tc>
        <w:tc>
          <w:tcPr>
            <w:tcW w:w="562" w:type="dxa"/>
            <w:shd w:val="clear" w:color="auto" w:fill="E5DFEC" w:themeFill="accent4" w:themeFillTint="33"/>
            <w:textDirection w:val="btLr"/>
          </w:tcPr>
          <w:p w:rsidR="004D1ED6" w:rsidRDefault="004D1ED6" w:rsidP="00CF2205">
            <w:pPr>
              <w:spacing w:line="259" w:lineRule="auto"/>
              <w:ind w:left="113" w:right="113"/>
              <w:rPr>
                <w:color w:val="FFFFFF" w:themeColor="background1"/>
                <w:sz w:val="24"/>
              </w:rPr>
            </w:pPr>
            <w:r w:rsidRPr="00E11C3C">
              <w:rPr>
                <w:b/>
              </w:rPr>
              <w:t>Successfully Completed</w:t>
            </w:r>
          </w:p>
        </w:tc>
      </w:tr>
      <w:tr w:rsidR="00E90361" w:rsidTr="00CF2205">
        <w:tc>
          <w:tcPr>
            <w:tcW w:w="7105" w:type="dxa"/>
          </w:tcPr>
          <w:p w:rsidR="00E90361" w:rsidRDefault="00E90361" w:rsidP="00E9036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District curricula </w:t>
            </w:r>
            <w:proofErr w:type="gramStart"/>
            <w:r>
              <w:t>is aligned</w:t>
            </w:r>
            <w:proofErr w:type="gramEnd"/>
            <w:r>
              <w:t xml:space="preserve"> to the Alaska Computer Science Standards and the Alaska Digital Literacy Standards.</w:t>
            </w:r>
          </w:p>
        </w:tc>
        <w:tc>
          <w:tcPr>
            <w:tcW w:w="561" w:type="dxa"/>
          </w:tcPr>
          <w:p w:rsidR="00E90361" w:rsidRDefault="00E90361" w:rsidP="00E90361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E90361" w:rsidRDefault="00E90361" w:rsidP="00E90361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E90361" w:rsidRDefault="00E90361" w:rsidP="00E90361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2" w:type="dxa"/>
          </w:tcPr>
          <w:p w:rsidR="00E90361" w:rsidRDefault="00E90361" w:rsidP="00E90361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</w:tr>
      <w:tr w:rsidR="00E90361" w:rsidTr="00CF2205">
        <w:tc>
          <w:tcPr>
            <w:tcW w:w="7105" w:type="dxa"/>
          </w:tcPr>
          <w:p w:rsidR="00E90361" w:rsidRDefault="00E90361" w:rsidP="00E9036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 xml:space="preserve">District instructional materials </w:t>
            </w:r>
            <w:proofErr w:type="gramStart"/>
            <w:r>
              <w:t>are aligned</w:t>
            </w:r>
            <w:proofErr w:type="gramEnd"/>
            <w:r>
              <w:t xml:space="preserve"> to the Alaska Computer Science Standards and the Alaska Digital Literacy Standards.</w:t>
            </w:r>
          </w:p>
        </w:tc>
        <w:tc>
          <w:tcPr>
            <w:tcW w:w="561" w:type="dxa"/>
          </w:tcPr>
          <w:p w:rsidR="00E90361" w:rsidRDefault="00E90361" w:rsidP="00E90361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E90361" w:rsidRDefault="00E90361" w:rsidP="00E90361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E90361" w:rsidRDefault="00E90361" w:rsidP="00E90361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2" w:type="dxa"/>
          </w:tcPr>
          <w:p w:rsidR="00E90361" w:rsidRDefault="00E90361" w:rsidP="00E90361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</w:tr>
      <w:tr w:rsidR="00E90361" w:rsidTr="00CF2205">
        <w:tc>
          <w:tcPr>
            <w:tcW w:w="7105" w:type="dxa"/>
          </w:tcPr>
          <w:p w:rsidR="00E90361" w:rsidRDefault="00E90361" w:rsidP="00E9036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Teachers are receiving ongoing professional development for implementation of the Alaska Computer Science Standards and the Alaska Digital Literacy Standards.</w:t>
            </w:r>
          </w:p>
        </w:tc>
        <w:tc>
          <w:tcPr>
            <w:tcW w:w="561" w:type="dxa"/>
          </w:tcPr>
          <w:p w:rsidR="00E90361" w:rsidRDefault="00E90361" w:rsidP="00E90361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E90361" w:rsidRDefault="00E90361" w:rsidP="00E90361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E90361" w:rsidRDefault="00E90361" w:rsidP="00E90361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2" w:type="dxa"/>
          </w:tcPr>
          <w:p w:rsidR="00E90361" w:rsidRDefault="00E90361" w:rsidP="00E90361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</w:tr>
      <w:tr w:rsidR="00E90361" w:rsidTr="00CF2205">
        <w:tc>
          <w:tcPr>
            <w:tcW w:w="7105" w:type="dxa"/>
          </w:tcPr>
          <w:p w:rsidR="00E90361" w:rsidRDefault="00E90361" w:rsidP="00E90361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The District has given direction to principals regarding monitoring instruction for alignment to the Alaska Computer Science Standards and the Alaska Digital Literacy Standards.</w:t>
            </w:r>
          </w:p>
        </w:tc>
        <w:tc>
          <w:tcPr>
            <w:tcW w:w="561" w:type="dxa"/>
          </w:tcPr>
          <w:p w:rsidR="00E90361" w:rsidRDefault="00E90361" w:rsidP="00E90361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E90361" w:rsidRDefault="00E90361" w:rsidP="00E90361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1" w:type="dxa"/>
          </w:tcPr>
          <w:p w:rsidR="00E90361" w:rsidRDefault="00E90361" w:rsidP="00E90361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  <w:tc>
          <w:tcPr>
            <w:tcW w:w="562" w:type="dxa"/>
          </w:tcPr>
          <w:p w:rsidR="00E90361" w:rsidRDefault="00E90361" w:rsidP="00E90361">
            <w:pPr>
              <w:spacing w:line="259" w:lineRule="auto"/>
              <w:rPr>
                <w:color w:val="FFFFFF" w:themeColor="background1"/>
                <w:sz w:val="24"/>
              </w:rPr>
            </w:pPr>
          </w:p>
        </w:tc>
      </w:tr>
    </w:tbl>
    <w:p w:rsidR="004D1ED6" w:rsidRDefault="004D1ED6" w:rsidP="004D1ED6">
      <w:pPr>
        <w:spacing w:after="0"/>
        <w:rPr>
          <w:color w:val="FFFFFF" w:themeColor="background1"/>
          <w:sz w:val="24"/>
        </w:rPr>
      </w:pPr>
    </w:p>
    <w:p w:rsidR="004D1ED6" w:rsidRPr="00534AD8" w:rsidRDefault="004D1ED6" w:rsidP="004D1ED6">
      <w:pPr>
        <w:spacing w:after="0"/>
        <w:rPr>
          <w:b/>
          <w:sz w:val="28"/>
        </w:rPr>
      </w:pPr>
      <w:r w:rsidRPr="00534AD8">
        <w:rPr>
          <w:b/>
          <w:sz w:val="28"/>
        </w:rPr>
        <w:t xml:space="preserve">Possible Resources for </w:t>
      </w:r>
      <w:r w:rsidR="00AE563C">
        <w:rPr>
          <w:b/>
          <w:sz w:val="28"/>
        </w:rPr>
        <w:t>Implementation</w:t>
      </w:r>
      <w:r w:rsidRPr="00534AD8">
        <w:rPr>
          <w:b/>
          <w:sz w:val="28"/>
        </w:rPr>
        <w:t xml:space="preserve"> Phase</w:t>
      </w:r>
      <w:r>
        <w:rPr>
          <w:b/>
          <w:sz w:val="28"/>
        </w:rPr>
        <w:t>:</w:t>
      </w:r>
    </w:p>
    <w:p w:rsidR="004D1ED6" w:rsidRDefault="004D1ED6" w:rsidP="004D1ED6">
      <w:pPr>
        <w:spacing w:after="0"/>
      </w:pPr>
      <w:r>
        <w:t>To be developed</w:t>
      </w:r>
    </w:p>
    <w:p w:rsidR="005F2088" w:rsidRPr="00395AC8" w:rsidRDefault="005F2088" w:rsidP="004D1ED6"/>
    <w:sectPr w:rsidR="005F2088" w:rsidRPr="00395AC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D1C" w:rsidRDefault="00F22D1C" w:rsidP="00534AD8">
      <w:pPr>
        <w:spacing w:after="0" w:line="240" w:lineRule="auto"/>
      </w:pPr>
      <w:r>
        <w:separator/>
      </w:r>
    </w:p>
  </w:endnote>
  <w:endnote w:type="continuationSeparator" w:id="0">
    <w:p w:rsidR="00F22D1C" w:rsidRDefault="00F22D1C" w:rsidP="00534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D8" w:rsidRDefault="00534AD8">
    <w:pPr>
      <w:pStyle w:val="Footer"/>
    </w:pPr>
    <w:r>
      <w:rPr>
        <w:noProof/>
      </w:rPr>
      <w:drawing>
        <wp:inline distT="0" distB="0" distL="0" distR="0" wp14:anchorId="297EC07D" wp14:editId="7EAB5326">
          <wp:extent cx="584835" cy="542290"/>
          <wp:effectExtent l="0" t="0" r="5715" b="0"/>
          <wp:docPr id="2" name="Picture 2" descr="DEED Logo" title="DE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>8/28/2019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D1C" w:rsidRDefault="00F22D1C" w:rsidP="00534AD8">
      <w:pPr>
        <w:spacing w:after="0" w:line="240" w:lineRule="auto"/>
      </w:pPr>
      <w:r>
        <w:separator/>
      </w:r>
    </w:p>
  </w:footnote>
  <w:footnote w:type="continuationSeparator" w:id="0">
    <w:p w:rsidR="00F22D1C" w:rsidRDefault="00F22D1C" w:rsidP="00534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9473F"/>
    <w:multiLevelType w:val="hybridMultilevel"/>
    <w:tmpl w:val="CB946C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C22F7"/>
    <w:multiLevelType w:val="hybridMultilevel"/>
    <w:tmpl w:val="9B848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F5904"/>
    <w:multiLevelType w:val="hybridMultilevel"/>
    <w:tmpl w:val="5546AE98"/>
    <w:lvl w:ilvl="0" w:tplc="342601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17848"/>
    <w:multiLevelType w:val="hybridMultilevel"/>
    <w:tmpl w:val="D8B2D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35BF0"/>
    <w:multiLevelType w:val="hybridMultilevel"/>
    <w:tmpl w:val="C3841F78"/>
    <w:lvl w:ilvl="0" w:tplc="0A887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B40FE"/>
    <w:multiLevelType w:val="hybridMultilevel"/>
    <w:tmpl w:val="D8B2D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80C14"/>
    <w:multiLevelType w:val="hybridMultilevel"/>
    <w:tmpl w:val="F4B8B6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75DAF"/>
    <w:multiLevelType w:val="hybridMultilevel"/>
    <w:tmpl w:val="A572A2D8"/>
    <w:lvl w:ilvl="0" w:tplc="B68EF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10322"/>
    <w:multiLevelType w:val="hybridMultilevel"/>
    <w:tmpl w:val="D43A60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CF17B9"/>
    <w:multiLevelType w:val="hybridMultilevel"/>
    <w:tmpl w:val="7AAC96F4"/>
    <w:lvl w:ilvl="0" w:tplc="A88A48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D8"/>
    <w:rsid w:val="002C0D60"/>
    <w:rsid w:val="003040F4"/>
    <w:rsid w:val="00395AC8"/>
    <w:rsid w:val="004D1ED6"/>
    <w:rsid w:val="00534AD8"/>
    <w:rsid w:val="005A25D2"/>
    <w:rsid w:val="005D66F4"/>
    <w:rsid w:val="005F2088"/>
    <w:rsid w:val="00800887"/>
    <w:rsid w:val="0085747C"/>
    <w:rsid w:val="00A467F3"/>
    <w:rsid w:val="00AE563C"/>
    <w:rsid w:val="00E632FB"/>
    <w:rsid w:val="00E90361"/>
    <w:rsid w:val="00F22D1C"/>
    <w:rsid w:val="00F413EF"/>
    <w:rsid w:val="00F6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F7D4"/>
  <w15:chartTrackingRefBased/>
  <w15:docId w15:val="{F21D11BA-B2CC-4EDC-BD50-4669060F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AD8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53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4A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4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AD8"/>
  </w:style>
  <w:style w:type="paragraph" w:styleId="Footer">
    <w:name w:val="footer"/>
    <w:basedOn w:val="Normal"/>
    <w:link w:val="FooterChar"/>
    <w:uiPriority w:val="99"/>
    <w:unhideWhenUsed/>
    <w:rsid w:val="00534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alaska.gov/akstandards/digitallit/alaska%20digital%20literacy%20standards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alaska.gov/akstandards/computerscience/Alaska-Computer-Science-Standards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Wolter, Bjorn H (EED)</dc:creator>
  <cp:keywords/>
  <dc:description/>
  <cp:lastModifiedBy>Wolter, Bjorn H (EED)</cp:lastModifiedBy>
  <cp:revision>7</cp:revision>
  <dcterms:created xsi:type="dcterms:W3CDTF">2019-08-28T19:34:00Z</dcterms:created>
  <dcterms:modified xsi:type="dcterms:W3CDTF">2019-08-28T19:53:00Z</dcterms:modified>
</cp:coreProperties>
</file>