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E6" w:rsidRPr="00341F65" w:rsidRDefault="007C136B" w:rsidP="00341F65">
      <w:pPr>
        <w:pStyle w:val="Title"/>
        <w:rPr>
          <w:rFonts w:ascii="Times New Roman" w:hAnsi="Times New Roman"/>
        </w:rPr>
      </w:pPr>
      <w:r w:rsidRPr="00341F65">
        <w:rPr>
          <w:rFonts w:ascii="Times New Roman" w:hAnsi="Times New Roman"/>
        </w:rPr>
        <w:t>School Nurse</w:t>
      </w:r>
    </w:p>
    <w:p w:rsidR="00F618E6" w:rsidRDefault="007C136B">
      <w:pPr>
        <w:autoSpaceDE w:val="0"/>
        <w:autoSpaceDN w:val="0"/>
        <w:adjustRightInd w:val="0"/>
        <w:jc w:val="center"/>
        <w:rPr>
          <w:sz w:val="32"/>
          <w:szCs w:val="28"/>
        </w:rPr>
      </w:pPr>
      <w:r>
        <w:rPr>
          <w:sz w:val="32"/>
          <w:szCs w:val="28"/>
        </w:rPr>
        <w:t>You Can Support the Access and Success of Children and Youth Experiencing Homelessness in School</w:t>
      </w:r>
    </w:p>
    <w:p w:rsidR="00341F65" w:rsidRDefault="00341F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Be familiar with common characteristics of children who are homeless so you can recognize them. Common signals are attendance at several schools, poor hygiene, transportation problems, and poor health and nutrition.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Verify immunization records and, if needed, refer the student to the local health department.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Observe and alert the principal to any serious medical concern.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Ask about glasses; the child may need them but not have any.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Make sure the child enrolls in the free and reduced-price meal programs.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Assist parents with the completion of medical records.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Remember that sending a sick child “home” may not be a safe or stable place for a child who is experiencing homelessness. Help families determine options for their children, if ill.</w:t>
      </w:r>
    </w:p>
    <w:p w:rsidR="00F618E6" w:rsidRDefault="007C136B">
      <w:pPr>
        <w:pStyle w:val="BodyTextIndent3"/>
      </w:pPr>
      <w:r>
        <w:t>• Contact the school district homeless liaison so that additional services can be coordinated.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Follow-up with children sent to obtain immunizations or physicals.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Contact the parent or shelter if a child is absent for three or more days.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Develop reliable, accessible resources for medical, dental, and eye care.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 w:val="28"/>
          <w:szCs w:val="22"/>
        </w:rPr>
      </w:pPr>
      <w:r>
        <w:rPr>
          <w:sz w:val="28"/>
          <w:szCs w:val="22"/>
        </w:rPr>
        <w:t>• Sponsor a PTA health night.</w:t>
      </w:r>
    </w:p>
    <w:p w:rsidR="00F618E6" w:rsidRDefault="007C136B">
      <w:pPr>
        <w:autoSpaceDE w:val="0"/>
        <w:autoSpaceDN w:val="0"/>
        <w:adjustRightInd w:val="0"/>
        <w:spacing w:before="100" w:beforeAutospacing="1" w:after="100" w:afterAutospacing="1"/>
        <w:ind w:left="840" w:hanging="240"/>
        <w:rPr>
          <w:szCs w:val="22"/>
        </w:rPr>
      </w:pPr>
      <w:r>
        <w:rPr>
          <w:sz w:val="28"/>
          <w:szCs w:val="22"/>
        </w:rPr>
        <w:t>• Show that you care about the student!</w:t>
      </w:r>
    </w:p>
    <w:p w:rsidR="00F618E6" w:rsidRDefault="00F618E6">
      <w:pPr>
        <w:autoSpaceDE w:val="0"/>
        <w:autoSpaceDN w:val="0"/>
        <w:adjustRightInd w:val="0"/>
        <w:rPr>
          <w:szCs w:val="22"/>
        </w:rPr>
      </w:pPr>
    </w:p>
    <w:p w:rsidR="00F618E6" w:rsidRDefault="00F618E6" w:rsidP="00341F65">
      <w:pPr>
        <w:autoSpaceDE w:val="0"/>
        <w:autoSpaceDN w:val="0"/>
        <w:adjustRightInd w:val="0"/>
        <w:spacing w:before="240" w:after="240"/>
        <w:rPr>
          <w:szCs w:val="22"/>
        </w:rPr>
      </w:pPr>
      <w:bookmarkStart w:id="0" w:name="_GoBack"/>
      <w:bookmarkEnd w:id="0"/>
    </w:p>
    <w:p w:rsidR="00F618E6" w:rsidRDefault="007C136B">
      <w:pPr>
        <w:autoSpaceDE w:val="0"/>
        <w:autoSpaceDN w:val="0"/>
        <w:adjustRightInd w:val="0"/>
        <w:jc w:val="center"/>
      </w:pPr>
      <w:r>
        <w:rPr>
          <w:i/>
          <w:iCs/>
          <w:sz w:val="20"/>
          <w:szCs w:val="20"/>
        </w:rPr>
        <w:t>This tip sheet was adapted from Illinois, North Carolina, Texas, and Virginia Departments of Education and the National Center for Homeless Education documents.</w:t>
      </w:r>
    </w:p>
    <w:sectPr w:rsidR="00F618E6">
      <w:pgSz w:w="12240" w:h="15840" w:code="1"/>
      <w:pgMar w:top="979" w:right="1325" w:bottom="1138" w:left="1080" w:header="720" w:footer="720" w:gutter="0"/>
      <w:pgBorders w:offsetFrom="page">
        <w:top w:val="cabins" w:sz="18" w:space="24" w:color="auto"/>
        <w:left w:val="cabins" w:sz="18" w:space="24" w:color="auto"/>
        <w:bottom w:val="cabins" w:sz="18" w:space="24" w:color="auto"/>
        <w:right w:val="cabins" w:sz="18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bertu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6B"/>
    <w:rsid w:val="00341F65"/>
    <w:rsid w:val="007C136B"/>
    <w:rsid w:val="00F6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B8338"/>
  <w15:chartTrackingRefBased/>
  <w15:docId w15:val="{A69ED0B3-353A-434E-A3A8-0CC45A6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lbertusMT" w:hAnsi="AlbertusMT"/>
      <w:sz w:val="72"/>
      <w:szCs w:val="72"/>
    </w:rPr>
  </w:style>
  <w:style w:type="paragraph" w:styleId="BodyText">
    <w:name w:val="Body Text"/>
    <w:basedOn w:val="Normal"/>
    <w:semiHidden/>
    <w:pPr>
      <w:autoSpaceDE w:val="0"/>
      <w:autoSpaceDN w:val="0"/>
      <w:adjustRightInd w:val="0"/>
      <w:jc w:val="center"/>
    </w:pPr>
    <w:rPr>
      <w:rFonts w:ascii="AlbertusMT" w:hAnsi="AlbertusMT"/>
      <w:sz w:val="28"/>
      <w:szCs w:val="28"/>
    </w:rPr>
  </w:style>
  <w:style w:type="paragraph" w:styleId="BodyTextIndent">
    <w:name w:val="Body Text Indent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850" w:hanging="245"/>
    </w:pPr>
    <w:rPr>
      <w:sz w:val="22"/>
      <w:szCs w:val="22"/>
    </w:rPr>
  </w:style>
  <w:style w:type="paragraph" w:styleId="BodyTextIndent2">
    <w:name w:val="Body Text Indent 2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720" w:hanging="245"/>
    </w:pPr>
    <w:rPr>
      <w:sz w:val="28"/>
      <w:szCs w:val="22"/>
    </w:rPr>
  </w:style>
  <w:style w:type="paragraph" w:styleId="BodyText2">
    <w:name w:val="Body Text 2"/>
    <w:basedOn w:val="Normal"/>
    <w:semiHidden/>
    <w:pPr>
      <w:autoSpaceDE w:val="0"/>
      <w:autoSpaceDN w:val="0"/>
      <w:adjustRightInd w:val="0"/>
      <w:jc w:val="center"/>
    </w:pPr>
    <w:rPr>
      <w:i/>
      <w:iCs/>
      <w:sz w:val="20"/>
      <w:szCs w:val="20"/>
    </w:rPr>
  </w:style>
  <w:style w:type="paragraph" w:styleId="Subtitle">
    <w:name w:val="Subtitle"/>
    <w:basedOn w:val="Normal"/>
    <w:qFormat/>
    <w:pPr>
      <w:autoSpaceDE w:val="0"/>
      <w:autoSpaceDN w:val="0"/>
      <w:adjustRightInd w:val="0"/>
      <w:jc w:val="center"/>
    </w:pPr>
    <w:rPr>
      <w:sz w:val="72"/>
      <w:szCs w:val="72"/>
    </w:rPr>
  </w:style>
  <w:style w:type="paragraph" w:styleId="BodyTextIndent3">
    <w:name w:val="Body Text Indent 3"/>
    <w:basedOn w:val="Normal"/>
    <w:semiHidden/>
    <w:pPr>
      <w:autoSpaceDE w:val="0"/>
      <w:autoSpaceDN w:val="0"/>
      <w:adjustRightInd w:val="0"/>
      <w:spacing w:before="100" w:beforeAutospacing="1" w:after="100" w:afterAutospacing="1"/>
      <w:ind w:left="840" w:hanging="240"/>
    </w:pPr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Department of Education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 - Tips for School Nurses</dc:title>
  <dc:subject/>
  <dc:creator>slmeredith</dc:creator>
  <cp:keywords/>
  <dc:description/>
  <cp:lastModifiedBy>Barsy, Eli H (EED)</cp:lastModifiedBy>
  <cp:revision>3</cp:revision>
  <dcterms:created xsi:type="dcterms:W3CDTF">2019-05-01T22:41:00Z</dcterms:created>
  <dcterms:modified xsi:type="dcterms:W3CDTF">2019-05-01T22:47:00Z</dcterms:modified>
</cp:coreProperties>
</file>