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C0BC" w14:textId="77777777" w:rsidR="00D348BB" w:rsidRDefault="00D348BB">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0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385"/>
        <w:gridCol w:w="5385"/>
      </w:tblGrid>
      <w:tr w:rsidR="00D348BB" w14:paraId="418F4C35" w14:textId="77777777">
        <w:tc>
          <w:tcPr>
            <w:tcW w:w="10770" w:type="dxa"/>
            <w:gridSpan w:val="2"/>
            <w:shd w:val="clear" w:color="auto" w:fill="D9D9D9"/>
          </w:tcPr>
          <w:p w14:paraId="22EEE336" w14:textId="77777777" w:rsidR="00D348BB" w:rsidRDefault="00000000">
            <w:pPr>
              <w:jc w:val="center"/>
              <w:rPr>
                <w:b/>
                <w:sz w:val="28"/>
                <w:szCs w:val="28"/>
              </w:rPr>
            </w:pPr>
            <w:r>
              <w:rPr>
                <w:b/>
                <w:sz w:val="28"/>
                <w:szCs w:val="28"/>
              </w:rPr>
              <w:t>Professional Development Description</w:t>
            </w:r>
          </w:p>
        </w:tc>
      </w:tr>
      <w:tr w:rsidR="00D348BB" w14:paraId="022500F6" w14:textId="77777777">
        <w:tc>
          <w:tcPr>
            <w:tcW w:w="10770" w:type="dxa"/>
            <w:gridSpan w:val="2"/>
          </w:tcPr>
          <w:p w14:paraId="316B72EF" w14:textId="77777777" w:rsidR="00D348BB" w:rsidRDefault="00000000">
            <w:r>
              <w:rPr>
                <w:b/>
                <w:sz w:val="24"/>
                <w:szCs w:val="24"/>
              </w:rPr>
              <w:t>Name of Vendor:</w:t>
            </w:r>
            <w:r>
              <w:rPr>
                <w:sz w:val="24"/>
                <w:szCs w:val="24"/>
              </w:rPr>
              <w:t xml:space="preserve">  </w:t>
            </w:r>
            <w:r>
              <w:t>Lexia Learning</w:t>
            </w:r>
          </w:p>
        </w:tc>
      </w:tr>
      <w:tr w:rsidR="00D348BB" w14:paraId="57B27F1B" w14:textId="77777777">
        <w:tc>
          <w:tcPr>
            <w:tcW w:w="10770" w:type="dxa"/>
            <w:gridSpan w:val="2"/>
          </w:tcPr>
          <w:p w14:paraId="60A29171" w14:textId="77777777" w:rsidR="00D348BB" w:rsidRDefault="00000000">
            <w:pPr>
              <w:pBdr>
                <w:top w:val="nil"/>
                <w:left w:val="nil"/>
                <w:bottom w:val="nil"/>
                <w:right w:val="nil"/>
                <w:between w:val="nil"/>
              </w:pBdr>
              <w:spacing w:after="160"/>
              <w:rPr>
                <w:rFonts w:ascii="Times New Roman" w:eastAsia="Times New Roman" w:hAnsi="Times New Roman" w:cs="Times New Roman"/>
                <w:color w:val="000000"/>
                <w:sz w:val="27"/>
                <w:szCs w:val="27"/>
              </w:rPr>
            </w:pPr>
            <w:r>
              <w:rPr>
                <w:b/>
                <w:color w:val="000000"/>
                <w:sz w:val="24"/>
                <w:szCs w:val="24"/>
              </w:rPr>
              <w:t xml:space="preserve">Name of Class: </w:t>
            </w:r>
            <w:r>
              <w:rPr>
                <w:i/>
              </w:rPr>
              <w:t>LETRS (Language Essentials for Teachers of Reading and Spelling) 3</w:t>
            </w:r>
            <w:r>
              <w:rPr>
                <w:i/>
                <w:vertAlign w:val="superscript"/>
              </w:rPr>
              <w:t>rd</w:t>
            </w:r>
            <w:r>
              <w:rPr>
                <w:i/>
              </w:rPr>
              <w:t xml:space="preserve"> Edition- LETRS Training for Alaska</w:t>
            </w:r>
          </w:p>
        </w:tc>
      </w:tr>
      <w:tr w:rsidR="00D348BB" w14:paraId="5A5FC9BD" w14:textId="77777777">
        <w:tc>
          <w:tcPr>
            <w:tcW w:w="10770" w:type="dxa"/>
            <w:gridSpan w:val="2"/>
          </w:tcPr>
          <w:p w14:paraId="75C32498" w14:textId="77777777" w:rsidR="00D348BB" w:rsidRDefault="00000000">
            <w:r>
              <w:rPr>
                <w:b/>
                <w:sz w:val="24"/>
                <w:szCs w:val="24"/>
              </w:rPr>
              <w:t xml:space="preserve">Publication Year: </w:t>
            </w:r>
            <w:r>
              <w:rPr>
                <w:sz w:val="24"/>
                <w:szCs w:val="24"/>
              </w:rPr>
              <w:t>2019</w:t>
            </w:r>
          </w:p>
        </w:tc>
      </w:tr>
      <w:tr w:rsidR="00D348BB" w14:paraId="38C3D258" w14:textId="77777777">
        <w:tc>
          <w:tcPr>
            <w:tcW w:w="10770" w:type="dxa"/>
            <w:gridSpan w:val="2"/>
          </w:tcPr>
          <w:p w14:paraId="27CB2E81" w14:textId="77777777" w:rsidR="00D348BB" w:rsidRDefault="00000000">
            <w:r>
              <w:rPr>
                <w:b/>
                <w:sz w:val="24"/>
                <w:szCs w:val="24"/>
              </w:rPr>
              <w:t>Contact Name</w:t>
            </w:r>
            <w:r>
              <w:rPr>
                <w:sz w:val="24"/>
                <w:szCs w:val="24"/>
              </w:rPr>
              <w:t>: Sarah White</w:t>
            </w:r>
          </w:p>
        </w:tc>
      </w:tr>
      <w:tr w:rsidR="00D348BB" w14:paraId="2464AAFE" w14:textId="77777777">
        <w:tc>
          <w:tcPr>
            <w:tcW w:w="10770" w:type="dxa"/>
            <w:gridSpan w:val="2"/>
          </w:tcPr>
          <w:p w14:paraId="4B695EBF" w14:textId="77777777" w:rsidR="00D348BB" w:rsidRDefault="00000000">
            <w:r>
              <w:rPr>
                <w:b/>
                <w:sz w:val="24"/>
                <w:szCs w:val="24"/>
              </w:rPr>
              <w:t xml:space="preserve">Phone Number: </w:t>
            </w:r>
            <w:r>
              <w:rPr>
                <w:sz w:val="24"/>
                <w:szCs w:val="24"/>
              </w:rPr>
              <w:t>1-800-507-2772</w:t>
            </w:r>
          </w:p>
        </w:tc>
      </w:tr>
      <w:tr w:rsidR="00D348BB" w14:paraId="41D8543F" w14:textId="77777777">
        <w:tc>
          <w:tcPr>
            <w:tcW w:w="10770" w:type="dxa"/>
            <w:gridSpan w:val="2"/>
          </w:tcPr>
          <w:p w14:paraId="45009170" w14:textId="77777777" w:rsidR="00D348BB" w:rsidRDefault="00000000">
            <w:r>
              <w:rPr>
                <w:b/>
                <w:sz w:val="24"/>
                <w:szCs w:val="24"/>
              </w:rPr>
              <w:t xml:space="preserve">Email Address: </w:t>
            </w:r>
            <w:hyperlink r:id="rId6">
              <w:r>
                <w:rPr>
                  <w:color w:val="1155CC"/>
                  <w:sz w:val="24"/>
                  <w:szCs w:val="24"/>
                  <w:u w:val="single"/>
                </w:rPr>
                <w:t>sarah.white@lexialearning.com</w:t>
              </w:r>
            </w:hyperlink>
          </w:p>
        </w:tc>
      </w:tr>
      <w:tr w:rsidR="00D348BB" w14:paraId="576EB7FB" w14:textId="77777777">
        <w:tc>
          <w:tcPr>
            <w:tcW w:w="10770" w:type="dxa"/>
            <w:gridSpan w:val="2"/>
          </w:tcPr>
          <w:p w14:paraId="2324D792" w14:textId="77777777" w:rsidR="00D348BB" w:rsidRDefault="00000000">
            <w:r>
              <w:rPr>
                <w:b/>
                <w:sz w:val="24"/>
                <w:szCs w:val="24"/>
              </w:rPr>
              <w:t xml:space="preserve">Website: </w:t>
            </w:r>
            <w:hyperlink r:id="rId7">
              <w:r>
                <w:rPr>
                  <w:color w:val="1155CC"/>
                  <w:sz w:val="24"/>
                  <w:szCs w:val="24"/>
                  <w:u w:val="single"/>
                </w:rPr>
                <w:t>lexialearning.com</w:t>
              </w:r>
            </w:hyperlink>
          </w:p>
        </w:tc>
      </w:tr>
      <w:tr w:rsidR="00D348BB" w14:paraId="1331F81B" w14:textId="77777777">
        <w:trPr>
          <w:trHeight w:val="923"/>
        </w:trPr>
        <w:tc>
          <w:tcPr>
            <w:tcW w:w="5385" w:type="dxa"/>
          </w:tcPr>
          <w:p w14:paraId="4D94FE03" w14:textId="77777777" w:rsidR="00D348BB" w:rsidRDefault="00000000">
            <w:pPr>
              <w:rPr>
                <w:b/>
                <w:sz w:val="24"/>
                <w:szCs w:val="24"/>
              </w:rPr>
            </w:pPr>
            <w:r>
              <w:rPr>
                <w:b/>
                <w:sz w:val="24"/>
                <w:szCs w:val="24"/>
              </w:rPr>
              <w:t>Audience:</w:t>
            </w:r>
          </w:p>
          <w:p w14:paraId="67E18D28" w14:textId="77777777" w:rsidR="00D348BB" w:rsidRDefault="00000000">
            <w:pPr>
              <w:numPr>
                <w:ilvl w:val="0"/>
                <w:numId w:val="1"/>
              </w:numPr>
            </w:pPr>
            <w:r>
              <w:rPr>
                <w:sz w:val="24"/>
                <w:szCs w:val="24"/>
              </w:rPr>
              <w:t xml:space="preserve">Principals and </w:t>
            </w:r>
            <w:r>
              <w:t>Administrators</w:t>
            </w:r>
            <w:r>
              <w:rPr>
                <w:sz w:val="24"/>
                <w:szCs w:val="24"/>
              </w:rPr>
              <w:t xml:space="preserve"> </w:t>
            </w:r>
          </w:p>
          <w:p w14:paraId="52F13017" w14:textId="77777777" w:rsidR="00D348BB" w:rsidRDefault="00000000">
            <w:pPr>
              <w:numPr>
                <w:ilvl w:val="0"/>
                <w:numId w:val="1"/>
              </w:numPr>
              <w:rPr>
                <w:sz w:val="24"/>
                <w:szCs w:val="24"/>
              </w:rPr>
            </w:pPr>
            <w:r>
              <w:rPr>
                <w:sz w:val="24"/>
                <w:szCs w:val="24"/>
              </w:rPr>
              <w:t>Early Education Lead</w:t>
            </w:r>
          </w:p>
          <w:p w14:paraId="09CEC62A" w14:textId="77777777" w:rsidR="00D348BB" w:rsidRDefault="00000000">
            <w:pPr>
              <w:numPr>
                <w:ilvl w:val="0"/>
                <w:numId w:val="1"/>
              </w:numPr>
              <w:rPr>
                <w:color w:val="000000"/>
                <w:sz w:val="24"/>
                <w:szCs w:val="24"/>
              </w:rPr>
            </w:pPr>
            <w:r>
              <w:rPr>
                <w:color w:val="000000"/>
                <w:sz w:val="24"/>
                <w:szCs w:val="24"/>
              </w:rPr>
              <w:t>K-3 Teachers </w:t>
            </w:r>
          </w:p>
          <w:p w14:paraId="5C94EAA2" w14:textId="77777777" w:rsidR="00D348BB" w:rsidRDefault="00000000">
            <w:pPr>
              <w:numPr>
                <w:ilvl w:val="0"/>
                <w:numId w:val="1"/>
              </w:numPr>
              <w:rPr>
                <w:sz w:val="24"/>
                <w:szCs w:val="24"/>
              </w:rPr>
            </w:pPr>
            <w:r>
              <w:rPr>
                <w:color w:val="000000"/>
                <w:sz w:val="24"/>
                <w:szCs w:val="24"/>
              </w:rPr>
              <w:t>K-12 Teachers</w:t>
            </w:r>
            <w:r>
              <w:rPr>
                <w:b/>
                <w:sz w:val="24"/>
                <w:szCs w:val="24"/>
              </w:rPr>
              <w:t xml:space="preserve"> </w:t>
            </w:r>
          </w:p>
          <w:p w14:paraId="57FA3D97" w14:textId="77777777" w:rsidR="00D348BB" w:rsidRDefault="00D348BB">
            <w:pPr>
              <w:rPr>
                <w:sz w:val="24"/>
                <w:szCs w:val="24"/>
              </w:rPr>
            </w:pPr>
          </w:p>
        </w:tc>
        <w:tc>
          <w:tcPr>
            <w:tcW w:w="5385" w:type="dxa"/>
            <w:vMerge w:val="restart"/>
          </w:tcPr>
          <w:p w14:paraId="3619A38C" w14:textId="77777777" w:rsidR="00D348BB" w:rsidRDefault="00000000">
            <w:pPr>
              <w:rPr>
                <w:sz w:val="24"/>
                <w:szCs w:val="24"/>
              </w:rPr>
            </w:pPr>
            <w:r>
              <w:rPr>
                <w:b/>
                <w:sz w:val="24"/>
                <w:szCs w:val="24"/>
              </w:rPr>
              <w:t>Delivery Format:</w:t>
            </w:r>
            <w:r>
              <w:rPr>
                <w:sz w:val="24"/>
                <w:szCs w:val="24"/>
              </w:rPr>
              <w:t xml:space="preserve"> </w:t>
            </w:r>
          </w:p>
          <w:p w14:paraId="10A3F599" w14:textId="77777777" w:rsidR="00D348BB" w:rsidRDefault="00000000">
            <w:pPr>
              <w:numPr>
                <w:ilvl w:val="0"/>
                <w:numId w:val="2"/>
              </w:numPr>
              <w:rPr>
                <w:color w:val="000000"/>
                <w:sz w:val="24"/>
                <w:szCs w:val="24"/>
              </w:rPr>
            </w:pPr>
            <w:r>
              <w:rPr>
                <w:color w:val="000000"/>
                <w:sz w:val="24"/>
                <w:szCs w:val="24"/>
              </w:rPr>
              <w:t>Online asynchronous, independent</w:t>
            </w:r>
          </w:p>
          <w:p w14:paraId="7D11A9D9" w14:textId="77777777" w:rsidR="00D348BB" w:rsidRDefault="00000000">
            <w:pPr>
              <w:numPr>
                <w:ilvl w:val="0"/>
                <w:numId w:val="2"/>
              </w:numPr>
              <w:rPr>
                <w:color w:val="000000"/>
                <w:sz w:val="24"/>
                <w:szCs w:val="24"/>
              </w:rPr>
            </w:pPr>
            <w:r>
              <w:rPr>
                <w:color w:val="000000"/>
                <w:sz w:val="24"/>
                <w:szCs w:val="24"/>
              </w:rPr>
              <w:t>Online synchronous, live </w:t>
            </w:r>
          </w:p>
          <w:p w14:paraId="29ADDDAC" w14:textId="77777777" w:rsidR="00D348BB" w:rsidRDefault="00000000">
            <w:pPr>
              <w:numPr>
                <w:ilvl w:val="0"/>
                <w:numId w:val="2"/>
              </w:numPr>
              <w:rPr>
                <w:color w:val="000000"/>
                <w:sz w:val="24"/>
                <w:szCs w:val="24"/>
              </w:rPr>
            </w:pPr>
            <w:r>
              <w:rPr>
                <w:color w:val="000000"/>
                <w:sz w:val="24"/>
                <w:szCs w:val="24"/>
              </w:rPr>
              <w:t>Online with live component</w:t>
            </w:r>
          </w:p>
          <w:p w14:paraId="0E1DE26F" w14:textId="77777777" w:rsidR="00D348BB" w:rsidRDefault="00000000">
            <w:pPr>
              <w:widowControl w:val="0"/>
              <w:numPr>
                <w:ilvl w:val="0"/>
                <w:numId w:val="2"/>
              </w:numPr>
              <w:shd w:val="clear" w:color="auto" w:fill="FFFFFF"/>
              <w:rPr>
                <w:color w:val="000000"/>
                <w:sz w:val="24"/>
                <w:szCs w:val="24"/>
              </w:rPr>
            </w:pPr>
            <w:r>
              <w:rPr>
                <w:color w:val="000000"/>
                <w:sz w:val="24"/>
                <w:szCs w:val="24"/>
              </w:rPr>
              <w:t>In-person, face-to-face live</w:t>
            </w:r>
          </w:p>
          <w:p w14:paraId="2B8472B9" w14:textId="77777777" w:rsidR="00D348BB" w:rsidRDefault="00000000">
            <w:pPr>
              <w:numPr>
                <w:ilvl w:val="0"/>
                <w:numId w:val="2"/>
              </w:numPr>
              <w:rPr>
                <w:color w:val="000000"/>
                <w:sz w:val="24"/>
                <w:szCs w:val="24"/>
              </w:rPr>
            </w:pPr>
            <w:r>
              <w:rPr>
                <w:color w:val="000000"/>
                <w:sz w:val="24"/>
                <w:szCs w:val="24"/>
              </w:rPr>
              <w:t>Hybrid</w:t>
            </w:r>
          </w:p>
        </w:tc>
      </w:tr>
      <w:tr w:rsidR="00D348BB" w14:paraId="7AFF1302" w14:textId="77777777">
        <w:trPr>
          <w:trHeight w:val="922"/>
        </w:trPr>
        <w:tc>
          <w:tcPr>
            <w:tcW w:w="5385" w:type="dxa"/>
          </w:tcPr>
          <w:p w14:paraId="7F07CF90" w14:textId="77777777" w:rsidR="00D348BB" w:rsidRDefault="00000000">
            <w:pPr>
              <w:rPr>
                <w:sz w:val="24"/>
                <w:szCs w:val="24"/>
              </w:rPr>
            </w:pPr>
            <w:r>
              <w:rPr>
                <w:b/>
                <w:sz w:val="24"/>
                <w:szCs w:val="24"/>
              </w:rPr>
              <w:t>Contact Hours:  120 Hours</w:t>
            </w:r>
          </w:p>
          <w:p w14:paraId="69B2CA82" w14:textId="77777777" w:rsidR="00D348BB" w:rsidRDefault="00D348BB">
            <w:pPr>
              <w:rPr>
                <w:b/>
                <w:sz w:val="24"/>
                <w:szCs w:val="24"/>
              </w:rPr>
            </w:pPr>
          </w:p>
        </w:tc>
        <w:tc>
          <w:tcPr>
            <w:tcW w:w="5385" w:type="dxa"/>
            <w:vMerge/>
          </w:tcPr>
          <w:p w14:paraId="0B0FDF88" w14:textId="77777777" w:rsidR="00D348BB" w:rsidRDefault="00D348BB">
            <w:pPr>
              <w:widowControl w:val="0"/>
              <w:pBdr>
                <w:top w:val="nil"/>
                <w:left w:val="nil"/>
                <w:bottom w:val="nil"/>
                <w:right w:val="nil"/>
                <w:between w:val="nil"/>
              </w:pBdr>
              <w:spacing w:line="276" w:lineRule="auto"/>
              <w:rPr>
                <w:sz w:val="24"/>
                <w:szCs w:val="24"/>
              </w:rPr>
            </w:pPr>
          </w:p>
        </w:tc>
      </w:tr>
      <w:tr w:rsidR="00D348BB" w14:paraId="38ECEA84" w14:textId="77777777">
        <w:trPr>
          <w:trHeight w:val="5655"/>
        </w:trPr>
        <w:tc>
          <w:tcPr>
            <w:tcW w:w="10770" w:type="dxa"/>
            <w:gridSpan w:val="2"/>
          </w:tcPr>
          <w:p w14:paraId="2689332E" w14:textId="77777777" w:rsidR="00D348BB" w:rsidRDefault="00000000">
            <w:r>
              <w:rPr>
                <w:b/>
                <w:sz w:val="24"/>
                <w:szCs w:val="24"/>
              </w:rPr>
              <w:t>Description of Professional Development:</w:t>
            </w:r>
          </w:p>
          <w:p w14:paraId="787D447F" w14:textId="77777777" w:rsidR="00D348BB" w:rsidRDefault="00D348BB">
            <w:pPr>
              <w:rPr>
                <w:sz w:val="24"/>
                <w:szCs w:val="24"/>
              </w:rPr>
            </w:pPr>
          </w:p>
          <w:p w14:paraId="78B9C5B4" w14:textId="77777777" w:rsidR="00D348BB" w:rsidRDefault="00000000">
            <w:pPr>
              <w:shd w:val="clear" w:color="auto" w:fill="FFFFFF"/>
              <w:spacing w:after="300"/>
              <w:rPr>
                <w:sz w:val="24"/>
                <w:szCs w:val="24"/>
              </w:rPr>
            </w:pPr>
            <w:r>
              <w:rPr>
                <w:sz w:val="24"/>
                <w:szCs w:val="24"/>
              </w:rPr>
              <w:t>LETRS is a comprehensive professional development program designed to enhance educators' understanding and implementation of effective reading, language, and literacy instruction. It covers essential principles, strategies, and content necessary for teaching reading and spelling proficiently.</w:t>
            </w:r>
          </w:p>
          <w:p w14:paraId="09E2771D" w14:textId="77777777" w:rsidR="00D348BB" w:rsidRDefault="00000000">
            <w:pPr>
              <w:shd w:val="clear" w:color="auto" w:fill="FFFFFF"/>
              <w:spacing w:after="300"/>
              <w:rPr>
                <w:sz w:val="24"/>
                <w:szCs w:val="24"/>
              </w:rPr>
            </w:pPr>
            <w:r>
              <w:rPr>
                <w:sz w:val="24"/>
                <w:szCs w:val="24"/>
              </w:rPr>
              <w:t>The course typically involves a blend of online and in-person components to provide a well-rounded learning experience for educators. Online coursework may include video modules, interactive activities, assessments, and resources for self-paced learning. In-person workshops offer opportunities for face-to-face instruction, collaboration, and hands-on practice.</w:t>
            </w:r>
          </w:p>
          <w:p w14:paraId="50005C97" w14:textId="77777777" w:rsidR="00D348BB" w:rsidRDefault="00000000">
            <w:pPr>
              <w:shd w:val="clear" w:color="auto" w:fill="FFFFFF"/>
              <w:spacing w:after="300"/>
              <w:rPr>
                <w:sz w:val="24"/>
                <w:szCs w:val="24"/>
              </w:rPr>
            </w:pPr>
            <w:r>
              <w:rPr>
                <w:sz w:val="24"/>
                <w:szCs w:val="24"/>
              </w:rPr>
              <w:t>LETRS aims to equip educators with the knowledge and skills needed to effectively teach literacy skills to students of all levels. By mastering the content and principles taught in LETRS, educators can become more proficient in addressing the diverse needs of their students and promoting literacy development effectively.</w:t>
            </w:r>
          </w:p>
        </w:tc>
      </w:tr>
    </w:tbl>
    <w:p w14:paraId="73EDA5BD" w14:textId="77777777" w:rsidR="00D348BB" w:rsidRDefault="00D348BB"/>
    <w:sectPr w:rsidR="00D348B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F46C8"/>
    <w:multiLevelType w:val="multilevel"/>
    <w:tmpl w:val="50D69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8625B9"/>
    <w:multiLevelType w:val="multilevel"/>
    <w:tmpl w:val="D604F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03013">
    <w:abstractNumId w:val="1"/>
  </w:num>
  <w:num w:numId="2" w16cid:durableId="168127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BB"/>
    <w:rsid w:val="00333171"/>
    <w:rsid w:val="00D3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C76B"/>
  <w15:docId w15:val="{ED30FA09-ABD2-45EC-ADC6-6E2BE6CF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xialearn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h.white@lexialearning.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Dxz2eZHCDGHztbmLJ7GDFY0ng==">CgMxLjA4AHIhMXdSSHdvc3FPNDQ1MVdObm9BOEtmc09jYS1YZ09CZ21m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Matt M (EED)</dc:creator>
  <cp:lastModifiedBy>Johnson, Matt M (EED)</cp:lastModifiedBy>
  <cp:revision>2</cp:revision>
  <dcterms:created xsi:type="dcterms:W3CDTF">2024-03-08T23:40:00Z</dcterms:created>
  <dcterms:modified xsi:type="dcterms:W3CDTF">2024-03-08T23:40:00Z</dcterms:modified>
</cp:coreProperties>
</file>